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635E" w14:textId="76B97AAA" w:rsidR="00E775CD" w:rsidRPr="00952BBE" w:rsidRDefault="00E775CD" w:rsidP="00E775CD">
      <w:pPr>
        <w:spacing w:after="240"/>
        <w:rPr>
          <w:i/>
          <w:iCs/>
          <w:sz w:val="32"/>
          <w:szCs w:val="32"/>
        </w:rPr>
      </w:pPr>
      <w:r>
        <w:rPr>
          <w:i/>
          <w:iCs/>
          <w:sz w:val="32"/>
          <w:szCs w:val="32"/>
        </w:rPr>
        <w:t xml:space="preserve">This </w:t>
      </w:r>
      <w:r w:rsidRPr="00952BBE">
        <w:rPr>
          <w:i/>
          <w:iCs/>
          <w:sz w:val="32"/>
          <w:szCs w:val="32"/>
        </w:rPr>
        <w:t xml:space="preserve">document has been published as part of the consultation period </w:t>
      </w:r>
      <w:r>
        <w:rPr>
          <w:i/>
          <w:iCs/>
          <w:sz w:val="32"/>
          <w:szCs w:val="32"/>
        </w:rPr>
        <w:t>(</w:t>
      </w:r>
      <w:r w:rsidRPr="00952BBE">
        <w:rPr>
          <w:i/>
          <w:iCs/>
          <w:sz w:val="32"/>
          <w:szCs w:val="32"/>
        </w:rPr>
        <w:t>February 2022 to March 2022</w:t>
      </w:r>
      <w:r>
        <w:rPr>
          <w:i/>
          <w:iCs/>
          <w:sz w:val="32"/>
          <w:szCs w:val="32"/>
        </w:rPr>
        <w:t>)</w:t>
      </w:r>
      <w:r w:rsidRPr="00952BBE">
        <w:rPr>
          <w:i/>
          <w:iCs/>
          <w:sz w:val="32"/>
          <w:szCs w:val="32"/>
        </w:rPr>
        <w:t xml:space="preserve"> supporting the development of the HEIW and Social Care Wales Strategic Mental Health Workforce Plan 2022. </w:t>
      </w:r>
    </w:p>
    <w:p w14:paraId="41B16CD6" w14:textId="77777777" w:rsidR="00307ABA" w:rsidRDefault="00307ABA" w:rsidP="00307ABA">
      <w:pPr>
        <w:rPr>
          <w:i/>
          <w:iCs/>
          <w:sz w:val="32"/>
          <w:szCs w:val="32"/>
        </w:rPr>
      </w:pPr>
      <w:proofErr w:type="spellStart"/>
      <w:r>
        <w:rPr>
          <w:i/>
          <w:iCs/>
          <w:sz w:val="32"/>
          <w:szCs w:val="32"/>
        </w:rPr>
        <w:t>Cyhoeddwyd</w:t>
      </w:r>
      <w:proofErr w:type="spellEnd"/>
      <w:r>
        <w:rPr>
          <w:i/>
          <w:iCs/>
          <w:sz w:val="32"/>
          <w:szCs w:val="32"/>
        </w:rPr>
        <w:t xml:space="preserve"> y </w:t>
      </w:r>
      <w:proofErr w:type="spellStart"/>
      <w:r>
        <w:rPr>
          <w:i/>
          <w:iCs/>
          <w:sz w:val="32"/>
          <w:szCs w:val="32"/>
        </w:rPr>
        <w:t>ddogfen</w:t>
      </w:r>
      <w:proofErr w:type="spellEnd"/>
      <w:r>
        <w:rPr>
          <w:i/>
          <w:iCs/>
          <w:sz w:val="32"/>
          <w:szCs w:val="32"/>
        </w:rPr>
        <w:t xml:space="preserve"> hon </w:t>
      </w:r>
      <w:proofErr w:type="spellStart"/>
      <w:r>
        <w:rPr>
          <w:i/>
          <w:iCs/>
          <w:sz w:val="32"/>
          <w:szCs w:val="32"/>
        </w:rPr>
        <w:t>fel</w:t>
      </w:r>
      <w:proofErr w:type="spellEnd"/>
      <w:r>
        <w:rPr>
          <w:i/>
          <w:iCs/>
          <w:sz w:val="32"/>
          <w:szCs w:val="32"/>
        </w:rPr>
        <w:t xml:space="preserve"> </w:t>
      </w:r>
      <w:proofErr w:type="spellStart"/>
      <w:r>
        <w:rPr>
          <w:i/>
          <w:iCs/>
          <w:sz w:val="32"/>
          <w:szCs w:val="32"/>
        </w:rPr>
        <w:t>rhan</w:t>
      </w:r>
      <w:proofErr w:type="spellEnd"/>
      <w:r>
        <w:rPr>
          <w:i/>
          <w:iCs/>
          <w:sz w:val="32"/>
          <w:szCs w:val="32"/>
        </w:rPr>
        <w:t xml:space="preserve"> </w:t>
      </w:r>
      <w:proofErr w:type="spellStart"/>
      <w:r>
        <w:rPr>
          <w:i/>
          <w:iCs/>
          <w:sz w:val="32"/>
          <w:szCs w:val="32"/>
        </w:rPr>
        <w:t>o'r</w:t>
      </w:r>
      <w:proofErr w:type="spellEnd"/>
      <w:r>
        <w:rPr>
          <w:i/>
          <w:iCs/>
          <w:sz w:val="32"/>
          <w:szCs w:val="32"/>
        </w:rPr>
        <w:t xml:space="preserve"> </w:t>
      </w:r>
      <w:proofErr w:type="spellStart"/>
      <w:r>
        <w:rPr>
          <w:i/>
          <w:iCs/>
          <w:sz w:val="32"/>
          <w:szCs w:val="32"/>
        </w:rPr>
        <w:t>cyfnod</w:t>
      </w:r>
      <w:proofErr w:type="spellEnd"/>
      <w:r>
        <w:rPr>
          <w:i/>
          <w:iCs/>
          <w:sz w:val="32"/>
          <w:szCs w:val="32"/>
        </w:rPr>
        <w:t xml:space="preserve"> </w:t>
      </w:r>
      <w:proofErr w:type="spellStart"/>
      <w:r>
        <w:rPr>
          <w:i/>
          <w:iCs/>
          <w:sz w:val="32"/>
          <w:szCs w:val="32"/>
        </w:rPr>
        <w:t>ymgynghori</w:t>
      </w:r>
      <w:proofErr w:type="spellEnd"/>
      <w:r>
        <w:rPr>
          <w:i/>
          <w:iCs/>
          <w:sz w:val="32"/>
          <w:szCs w:val="32"/>
        </w:rPr>
        <w:t xml:space="preserve"> </w:t>
      </w:r>
      <w:proofErr w:type="spellStart"/>
      <w:r>
        <w:rPr>
          <w:i/>
          <w:iCs/>
          <w:sz w:val="32"/>
          <w:szCs w:val="32"/>
        </w:rPr>
        <w:t>Chwefror</w:t>
      </w:r>
      <w:proofErr w:type="spellEnd"/>
      <w:r>
        <w:rPr>
          <w:i/>
          <w:iCs/>
          <w:sz w:val="32"/>
          <w:szCs w:val="32"/>
        </w:rPr>
        <w:t xml:space="preserve"> 2022 </w:t>
      </w:r>
      <w:proofErr w:type="spellStart"/>
      <w:r>
        <w:rPr>
          <w:i/>
          <w:iCs/>
          <w:sz w:val="32"/>
          <w:szCs w:val="32"/>
        </w:rPr>
        <w:t>i</w:t>
      </w:r>
      <w:proofErr w:type="spellEnd"/>
      <w:r>
        <w:rPr>
          <w:i/>
          <w:iCs/>
          <w:sz w:val="32"/>
          <w:szCs w:val="32"/>
        </w:rPr>
        <w:t xml:space="preserve"> </w:t>
      </w:r>
      <w:proofErr w:type="spellStart"/>
      <w:r>
        <w:rPr>
          <w:i/>
          <w:iCs/>
          <w:sz w:val="32"/>
          <w:szCs w:val="32"/>
        </w:rPr>
        <w:t>Fawrth</w:t>
      </w:r>
      <w:proofErr w:type="spellEnd"/>
      <w:r>
        <w:rPr>
          <w:i/>
          <w:iCs/>
          <w:sz w:val="32"/>
          <w:szCs w:val="32"/>
        </w:rPr>
        <w:t xml:space="preserve"> 2022 </w:t>
      </w:r>
      <w:proofErr w:type="spellStart"/>
      <w:r>
        <w:rPr>
          <w:i/>
          <w:iCs/>
          <w:sz w:val="32"/>
          <w:szCs w:val="32"/>
        </w:rPr>
        <w:t>i</w:t>
      </w:r>
      <w:proofErr w:type="spellEnd"/>
      <w:r>
        <w:rPr>
          <w:i/>
          <w:iCs/>
          <w:sz w:val="32"/>
          <w:szCs w:val="32"/>
        </w:rPr>
        <w:t xml:space="preserve"> </w:t>
      </w:r>
      <w:proofErr w:type="spellStart"/>
      <w:r>
        <w:rPr>
          <w:i/>
          <w:iCs/>
          <w:sz w:val="32"/>
          <w:szCs w:val="32"/>
        </w:rPr>
        <w:t>gefnogi</w:t>
      </w:r>
      <w:proofErr w:type="spellEnd"/>
      <w:r>
        <w:rPr>
          <w:i/>
          <w:iCs/>
          <w:sz w:val="32"/>
          <w:szCs w:val="32"/>
        </w:rPr>
        <w:t xml:space="preserve"> </w:t>
      </w:r>
      <w:proofErr w:type="spellStart"/>
      <w:r>
        <w:rPr>
          <w:i/>
          <w:iCs/>
          <w:sz w:val="32"/>
          <w:szCs w:val="32"/>
        </w:rPr>
        <w:t>datblygiad</w:t>
      </w:r>
      <w:proofErr w:type="spellEnd"/>
      <w:r>
        <w:rPr>
          <w:i/>
          <w:iCs/>
          <w:sz w:val="32"/>
          <w:szCs w:val="32"/>
        </w:rPr>
        <w:t xml:space="preserve"> </w:t>
      </w:r>
      <w:proofErr w:type="spellStart"/>
      <w:r>
        <w:rPr>
          <w:i/>
          <w:iCs/>
          <w:sz w:val="32"/>
          <w:szCs w:val="32"/>
        </w:rPr>
        <w:t>Cynllun</w:t>
      </w:r>
      <w:proofErr w:type="spellEnd"/>
      <w:r>
        <w:rPr>
          <w:i/>
          <w:iCs/>
          <w:sz w:val="32"/>
          <w:szCs w:val="32"/>
        </w:rPr>
        <w:t xml:space="preserve"> </w:t>
      </w:r>
      <w:proofErr w:type="spellStart"/>
      <w:r>
        <w:rPr>
          <w:i/>
          <w:iCs/>
          <w:sz w:val="32"/>
          <w:szCs w:val="32"/>
        </w:rPr>
        <w:t>Gweithlu</w:t>
      </w:r>
      <w:proofErr w:type="spellEnd"/>
      <w:r>
        <w:rPr>
          <w:i/>
          <w:iCs/>
          <w:sz w:val="32"/>
          <w:szCs w:val="32"/>
        </w:rPr>
        <w:t xml:space="preserve"> Iechyd </w:t>
      </w:r>
      <w:proofErr w:type="spellStart"/>
      <w:r>
        <w:rPr>
          <w:i/>
          <w:iCs/>
          <w:sz w:val="32"/>
          <w:szCs w:val="32"/>
        </w:rPr>
        <w:t>Meddwl</w:t>
      </w:r>
      <w:proofErr w:type="spellEnd"/>
      <w:r>
        <w:rPr>
          <w:i/>
          <w:iCs/>
          <w:sz w:val="32"/>
          <w:szCs w:val="32"/>
        </w:rPr>
        <w:t xml:space="preserve"> </w:t>
      </w:r>
      <w:proofErr w:type="spellStart"/>
      <w:r>
        <w:rPr>
          <w:i/>
          <w:iCs/>
          <w:sz w:val="32"/>
          <w:szCs w:val="32"/>
        </w:rPr>
        <w:t>Strategol</w:t>
      </w:r>
      <w:proofErr w:type="spellEnd"/>
      <w:r>
        <w:rPr>
          <w:i/>
          <w:iCs/>
          <w:sz w:val="32"/>
          <w:szCs w:val="32"/>
        </w:rPr>
        <w:t xml:space="preserve"> </w:t>
      </w:r>
      <w:proofErr w:type="spellStart"/>
      <w:r>
        <w:rPr>
          <w:i/>
          <w:iCs/>
          <w:sz w:val="32"/>
          <w:szCs w:val="32"/>
        </w:rPr>
        <w:t>AaGIC</w:t>
      </w:r>
      <w:proofErr w:type="spellEnd"/>
      <w:r>
        <w:rPr>
          <w:i/>
          <w:iCs/>
          <w:sz w:val="32"/>
          <w:szCs w:val="32"/>
        </w:rPr>
        <w:t xml:space="preserve"> a </w:t>
      </w:r>
      <w:proofErr w:type="spellStart"/>
      <w:r>
        <w:rPr>
          <w:i/>
          <w:iCs/>
          <w:sz w:val="32"/>
          <w:szCs w:val="32"/>
        </w:rPr>
        <w:t>Gofal</w:t>
      </w:r>
      <w:proofErr w:type="spellEnd"/>
      <w:r>
        <w:rPr>
          <w:i/>
          <w:iCs/>
          <w:sz w:val="32"/>
          <w:szCs w:val="32"/>
        </w:rPr>
        <w:t xml:space="preserve"> </w:t>
      </w:r>
      <w:proofErr w:type="spellStart"/>
      <w:r>
        <w:rPr>
          <w:i/>
          <w:iCs/>
          <w:sz w:val="32"/>
          <w:szCs w:val="32"/>
        </w:rPr>
        <w:t>Cymdeithasol</w:t>
      </w:r>
      <w:proofErr w:type="spellEnd"/>
      <w:r>
        <w:rPr>
          <w:i/>
          <w:iCs/>
          <w:sz w:val="32"/>
          <w:szCs w:val="32"/>
        </w:rPr>
        <w:t xml:space="preserve"> Cymru 2022.</w:t>
      </w:r>
    </w:p>
    <w:p w14:paraId="6591D5CF" w14:textId="77777777" w:rsidR="00E775CD" w:rsidRDefault="00E775CD" w:rsidP="00E775CD">
      <w:pPr>
        <w:rPr>
          <w:rFonts w:cstheme="minorHAnsi"/>
          <w:b/>
          <w:bCs/>
          <w:sz w:val="52"/>
          <w:szCs w:val="52"/>
        </w:rPr>
      </w:pPr>
    </w:p>
    <w:p w14:paraId="3D67D46F" w14:textId="77777777" w:rsidR="00307ABA" w:rsidRDefault="00307ABA" w:rsidP="00E775CD">
      <w:pPr>
        <w:rPr>
          <w:rFonts w:cstheme="minorHAnsi"/>
          <w:b/>
          <w:bCs/>
          <w:sz w:val="52"/>
          <w:szCs w:val="52"/>
        </w:rPr>
      </w:pPr>
    </w:p>
    <w:p w14:paraId="1AAF4F27" w14:textId="0F049228" w:rsidR="00E775CD" w:rsidRDefault="00634807" w:rsidP="00E775CD">
      <w:pPr>
        <w:rPr>
          <w:rFonts w:cstheme="minorHAnsi"/>
          <w:b/>
          <w:bCs/>
          <w:sz w:val="52"/>
          <w:szCs w:val="52"/>
        </w:rPr>
      </w:pPr>
      <w:r w:rsidRPr="00634807">
        <w:rPr>
          <w:rFonts w:cstheme="minorHAnsi"/>
          <w:b/>
          <w:bCs/>
          <w:sz w:val="52"/>
          <w:szCs w:val="52"/>
        </w:rPr>
        <w:t xml:space="preserve">The role of podiatry in supporting mental wellbeing / </w:t>
      </w:r>
      <w:proofErr w:type="spellStart"/>
      <w:r w:rsidRPr="00634807">
        <w:rPr>
          <w:rFonts w:cstheme="minorHAnsi"/>
          <w:b/>
          <w:bCs/>
          <w:sz w:val="52"/>
          <w:szCs w:val="52"/>
        </w:rPr>
        <w:t>Rôl</w:t>
      </w:r>
      <w:proofErr w:type="spellEnd"/>
      <w:r w:rsidRPr="00634807">
        <w:rPr>
          <w:rFonts w:cstheme="minorHAnsi"/>
          <w:b/>
          <w:bCs/>
          <w:sz w:val="52"/>
          <w:szCs w:val="52"/>
        </w:rPr>
        <w:t xml:space="preserve"> </w:t>
      </w:r>
      <w:proofErr w:type="spellStart"/>
      <w:r w:rsidRPr="00634807">
        <w:rPr>
          <w:rFonts w:cstheme="minorHAnsi"/>
          <w:b/>
          <w:bCs/>
          <w:sz w:val="52"/>
          <w:szCs w:val="52"/>
        </w:rPr>
        <w:t>podiatreg</w:t>
      </w:r>
      <w:proofErr w:type="spellEnd"/>
      <w:r w:rsidRPr="00634807">
        <w:rPr>
          <w:rFonts w:cstheme="minorHAnsi"/>
          <w:b/>
          <w:bCs/>
          <w:sz w:val="52"/>
          <w:szCs w:val="52"/>
        </w:rPr>
        <w:t xml:space="preserve"> </w:t>
      </w:r>
      <w:proofErr w:type="spellStart"/>
      <w:r w:rsidRPr="00634807">
        <w:rPr>
          <w:rFonts w:cstheme="minorHAnsi"/>
          <w:b/>
          <w:bCs/>
          <w:sz w:val="52"/>
          <w:szCs w:val="52"/>
        </w:rPr>
        <w:t>wrth</w:t>
      </w:r>
      <w:proofErr w:type="spellEnd"/>
      <w:r w:rsidRPr="00634807">
        <w:rPr>
          <w:rFonts w:cstheme="minorHAnsi"/>
          <w:b/>
          <w:bCs/>
          <w:sz w:val="52"/>
          <w:szCs w:val="52"/>
        </w:rPr>
        <w:t xml:space="preserve"> </w:t>
      </w:r>
      <w:proofErr w:type="spellStart"/>
      <w:r w:rsidRPr="00634807">
        <w:rPr>
          <w:rFonts w:cstheme="minorHAnsi"/>
          <w:b/>
          <w:bCs/>
          <w:sz w:val="52"/>
          <w:szCs w:val="52"/>
        </w:rPr>
        <w:t>gefnogi</w:t>
      </w:r>
      <w:proofErr w:type="spellEnd"/>
      <w:r w:rsidRPr="00634807">
        <w:rPr>
          <w:rFonts w:cstheme="minorHAnsi"/>
          <w:b/>
          <w:bCs/>
          <w:sz w:val="52"/>
          <w:szCs w:val="52"/>
        </w:rPr>
        <w:t xml:space="preserve"> </w:t>
      </w:r>
      <w:proofErr w:type="spellStart"/>
      <w:r w:rsidRPr="00634807">
        <w:rPr>
          <w:rFonts w:cstheme="minorHAnsi"/>
          <w:b/>
          <w:bCs/>
          <w:sz w:val="52"/>
          <w:szCs w:val="52"/>
        </w:rPr>
        <w:t>llesiant</w:t>
      </w:r>
      <w:proofErr w:type="spellEnd"/>
      <w:r w:rsidRPr="00634807">
        <w:rPr>
          <w:rFonts w:cstheme="minorHAnsi"/>
          <w:b/>
          <w:bCs/>
          <w:sz w:val="52"/>
          <w:szCs w:val="52"/>
        </w:rPr>
        <w:t xml:space="preserve"> </w:t>
      </w:r>
      <w:proofErr w:type="spellStart"/>
      <w:r w:rsidRPr="00634807">
        <w:rPr>
          <w:rFonts w:cstheme="minorHAnsi"/>
          <w:b/>
          <w:bCs/>
          <w:sz w:val="52"/>
          <w:szCs w:val="52"/>
        </w:rPr>
        <w:t>meddwl</w:t>
      </w:r>
      <w:proofErr w:type="spellEnd"/>
    </w:p>
    <w:p w14:paraId="0C173397" w14:textId="77777777" w:rsidR="00634807" w:rsidRDefault="00634807" w:rsidP="00E775CD">
      <w:pPr>
        <w:rPr>
          <w:rFonts w:ascii="Arial" w:eastAsia="Arial" w:hAnsi="Arial" w:cs="Arial"/>
          <w:b/>
          <w:sz w:val="24"/>
          <w:szCs w:val="24"/>
          <w:lang w:eastAsia="en-GB"/>
        </w:rPr>
      </w:pPr>
    </w:p>
    <w:p w14:paraId="049B84AF" w14:textId="1B1B8E38" w:rsidR="00E775CD" w:rsidRDefault="00027634" w:rsidP="00E775CD">
      <w:pPr>
        <w:rPr>
          <w:rFonts w:cstheme="minorHAnsi"/>
          <w:b/>
          <w:bCs/>
          <w:sz w:val="40"/>
          <w:szCs w:val="40"/>
        </w:rPr>
      </w:pPr>
      <w:r w:rsidRPr="00027634">
        <w:rPr>
          <w:rFonts w:cstheme="minorHAnsi"/>
          <w:b/>
          <w:bCs/>
          <w:sz w:val="40"/>
          <w:szCs w:val="40"/>
        </w:rPr>
        <w:t xml:space="preserve">July 2021 / </w:t>
      </w:r>
      <w:proofErr w:type="spellStart"/>
      <w:r w:rsidRPr="00027634">
        <w:rPr>
          <w:rFonts w:cstheme="minorHAnsi"/>
          <w:b/>
          <w:bCs/>
          <w:sz w:val="40"/>
          <w:szCs w:val="40"/>
        </w:rPr>
        <w:t>Gorffennaf</w:t>
      </w:r>
      <w:proofErr w:type="spellEnd"/>
      <w:r w:rsidRPr="00027634">
        <w:rPr>
          <w:rFonts w:cstheme="minorHAnsi"/>
          <w:b/>
          <w:bCs/>
          <w:sz w:val="40"/>
          <w:szCs w:val="40"/>
        </w:rPr>
        <w:t xml:space="preserve"> 2021</w:t>
      </w:r>
    </w:p>
    <w:p w14:paraId="26089F57" w14:textId="77777777" w:rsidR="00027634" w:rsidRDefault="00027634" w:rsidP="00E775CD">
      <w:pPr>
        <w:rPr>
          <w:rFonts w:ascii="Arial" w:eastAsia="Arial" w:hAnsi="Arial" w:cs="Arial"/>
          <w:b/>
          <w:sz w:val="24"/>
          <w:szCs w:val="24"/>
          <w:lang w:eastAsia="en-GB"/>
        </w:rPr>
      </w:pPr>
    </w:p>
    <w:p w14:paraId="5D3DEA7D" w14:textId="6700CEE8" w:rsidR="00E775CD" w:rsidRPr="00D4419A" w:rsidRDefault="00BE08C2" w:rsidP="00E775CD">
      <w:pPr>
        <w:rPr>
          <w:rFonts w:eastAsia="Arial" w:cs="Arial"/>
          <w:b/>
          <w:sz w:val="28"/>
          <w:szCs w:val="28"/>
          <w:lang w:eastAsia="en-GB"/>
        </w:rPr>
      </w:pPr>
      <w:r>
        <w:rPr>
          <w:sz w:val="28"/>
          <w:szCs w:val="28"/>
        </w:rPr>
        <w:t>Author/</w:t>
      </w:r>
      <w:proofErr w:type="spellStart"/>
      <w:r>
        <w:rPr>
          <w:sz w:val="28"/>
          <w:szCs w:val="28"/>
        </w:rPr>
        <w:t>Awdur</w:t>
      </w:r>
      <w:proofErr w:type="spellEnd"/>
      <w:r>
        <w:rPr>
          <w:sz w:val="28"/>
          <w:szCs w:val="28"/>
        </w:rPr>
        <w:t xml:space="preserve">: </w:t>
      </w:r>
      <w:r w:rsidR="00027634" w:rsidRPr="00D4419A">
        <w:rPr>
          <w:rFonts w:eastAsia="Arial" w:cs="Arial"/>
          <w:sz w:val="28"/>
          <w:szCs w:val="28"/>
        </w:rPr>
        <w:t>Royal College of Podiatry</w:t>
      </w:r>
    </w:p>
    <w:p w14:paraId="48478EF7" w14:textId="77777777" w:rsidR="00027634" w:rsidRDefault="00E775CD" w:rsidP="00BF0D72">
      <w:pPr>
        <w:rPr>
          <w:rFonts w:ascii="Arial" w:eastAsia="Arial" w:hAnsi="Arial" w:cs="Arial"/>
          <w:b/>
        </w:rPr>
      </w:pPr>
      <w:r>
        <w:rPr>
          <w:rFonts w:ascii="Arial" w:eastAsia="Arial" w:hAnsi="Arial" w:cs="Arial"/>
          <w:b/>
        </w:rPr>
        <w:br w:type="page"/>
      </w:r>
    </w:p>
    <w:p w14:paraId="3588280B" w14:textId="183870AE" w:rsidR="006D77FF" w:rsidRDefault="006D77FF" w:rsidP="00BF0D72">
      <w:pPr>
        <w:rPr>
          <w:rFonts w:ascii="Arial" w:hAnsi="Arial" w:cs="Arial"/>
          <w:b/>
          <w:bCs/>
          <w:sz w:val="32"/>
          <w:szCs w:val="32"/>
          <w:u w:val="single"/>
        </w:rPr>
      </w:pPr>
      <w:r w:rsidRPr="006D77FF">
        <w:rPr>
          <w:rFonts w:ascii="Arial" w:hAnsi="Arial" w:cs="Arial"/>
          <w:b/>
          <w:bCs/>
          <w:noProof/>
          <w:sz w:val="32"/>
          <w:szCs w:val="32"/>
          <w:u w:val="single"/>
        </w:rPr>
        <w:lastRenderedPageBreak/>
        <w:drawing>
          <wp:anchor distT="0" distB="0" distL="114300" distR="114300" simplePos="0" relativeHeight="251662336" behindDoc="1" locked="0" layoutInCell="1" allowOverlap="1" wp14:anchorId="2FEC7176" wp14:editId="3A2DED88">
            <wp:simplePos x="0" y="0"/>
            <wp:positionH relativeFrom="margin">
              <wp:posOffset>3721100</wp:posOffset>
            </wp:positionH>
            <wp:positionV relativeFrom="paragraph">
              <wp:posOffset>0</wp:posOffset>
            </wp:positionV>
            <wp:extent cx="2298065" cy="628650"/>
            <wp:effectExtent l="0" t="0" r="6985" b="0"/>
            <wp:wrapTight wrapText="bothSides">
              <wp:wrapPolygon edited="0">
                <wp:start x="0" y="0"/>
                <wp:lineTo x="0" y="20945"/>
                <wp:lineTo x="21487" y="20945"/>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7801" b="31120"/>
                    <a:stretch/>
                  </pic:blipFill>
                  <pic:spPr bwMode="auto">
                    <a:xfrm>
                      <a:off x="0" y="0"/>
                      <a:ext cx="22980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11434" w14:textId="757CD28B" w:rsidR="00BF0D72" w:rsidRPr="00D15C84" w:rsidRDefault="00BF0D72" w:rsidP="00BF0D72">
      <w:pPr>
        <w:rPr>
          <w:rFonts w:ascii="Arial" w:hAnsi="Arial" w:cs="Arial"/>
          <w:b/>
          <w:bCs/>
          <w:sz w:val="32"/>
          <w:szCs w:val="32"/>
          <w:u w:val="single"/>
        </w:rPr>
      </w:pPr>
      <w:r>
        <w:rPr>
          <w:rFonts w:ascii="Arial" w:hAnsi="Arial" w:cs="Arial"/>
          <w:b/>
          <w:bCs/>
          <w:sz w:val="32"/>
          <w:szCs w:val="32"/>
          <w:u w:val="single"/>
        </w:rPr>
        <w:t xml:space="preserve">The role of podiatry in supporting </w:t>
      </w:r>
      <w:r w:rsidR="005641A2">
        <w:rPr>
          <w:rFonts w:ascii="Arial" w:hAnsi="Arial" w:cs="Arial"/>
          <w:b/>
          <w:bCs/>
          <w:sz w:val="32"/>
          <w:szCs w:val="32"/>
          <w:u w:val="single"/>
        </w:rPr>
        <w:t>mental wellbeing</w:t>
      </w:r>
      <w:r>
        <w:rPr>
          <w:rFonts w:ascii="Arial" w:hAnsi="Arial" w:cs="Arial"/>
          <w:b/>
          <w:bCs/>
          <w:sz w:val="32"/>
          <w:szCs w:val="32"/>
          <w:u w:val="single"/>
        </w:rPr>
        <w:t xml:space="preserve"> </w:t>
      </w:r>
    </w:p>
    <w:p w14:paraId="3AA70099" w14:textId="425ADBAF" w:rsidR="00BF0D72" w:rsidRPr="005508EA" w:rsidRDefault="00BF0D72" w:rsidP="00BF0D72">
      <w:pPr>
        <w:rPr>
          <w:rFonts w:ascii="Arial" w:hAnsi="Arial" w:cs="Arial"/>
          <w:b/>
          <w:bCs/>
          <w:u w:val="single"/>
        </w:rPr>
      </w:pPr>
    </w:p>
    <w:p w14:paraId="1CABC418" w14:textId="4033F9E2" w:rsidR="00BF0D72" w:rsidRPr="005508EA" w:rsidRDefault="00BF0D72" w:rsidP="00BF0D72">
      <w:pPr>
        <w:rPr>
          <w:rFonts w:ascii="Arial" w:hAnsi="Arial" w:cs="Arial"/>
          <w:b/>
          <w:bCs/>
          <w:u w:val="single"/>
        </w:rPr>
      </w:pPr>
      <w:r w:rsidRPr="005508EA">
        <w:rPr>
          <w:rFonts w:ascii="Arial" w:hAnsi="Arial" w:cs="Arial"/>
          <w:b/>
          <w:bCs/>
          <w:u w:val="single"/>
        </w:rPr>
        <w:t>Introduction</w:t>
      </w:r>
    </w:p>
    <w:p w14:paraId="24E3E041" w14:textId="7D5757B8" w:rsidR="005508EA" w:rsidRPr="005508EA" w:rsidRDefault="00962E07" w:rsidP="00BF0D72">
      <w:pPr>
        <w:rPr>
          <w:rFonts w:ascii="Arial" w:hAnsi="Arial" w:cs="Arial"/>
        </w:rPr>
      </w:pPr>
      <w:r w:rsidRPr="005508EA">
        <w:rPr>
          <w:rFonts w:ascii="Arial" w:hAnsi="Arial" w:cs="Arial"/>
        </w:rPr>
        <w:t xml:space="preserve">Over the last decade, there has been an increased focus on mental </w:t>
      </w:r>
      <w:r w:rsidR="00394120">
        <w:rPr>
          <w:rFonts w:ascii="Arial" w:hAnsi="Arial" w:cs="Arial"/>
        </w:rPr>
        <w:t>wellbeing</w:t>
      </w:r>
      <w:r w:rsidRPr="005508EA">
        <w:rPr>
          <w:rFonts w:ascii="Arial" w:hAnsi="Arial" w:cs="Arial"/>
        </w:rPr>
        <w:t xml:space="preserve"> in both policy and public discourse</w:t>
      </w:r>
      <w:r w:rsidR="005508EA" w:rsidRPr="005508EA">
        <w:rPr>
          <w:rFonts w:ascii="Arial" w:hAnsi="Arial" w:cs="Arial"/>
        </w:rPr>
        <w:t xml:space="preserve">.  </w:t>
      </w:r>
    </w:p>
    <w:p w14:paraId="1DC4F908" w14:textId="423223D7" w:rsidR="005508EA" w:rsidRPr="005508EA" w:rsidRDefault="005508EA" w:rsidP="00BF0D72">
      <w:pPr>
        <w:rPr>
          <w:rFonts w:ascii="Arial" w:hAnsi="Arial" w:cs="Arial"/>
        </w:rPr>
      </w:pPr>
      <w:r w:rsidRPr="005508EA">
        <w:rPr>
          <w:rFonts w:ascii="Arial" w:hAnsi="Arial" w:cs="Arial"/>
        </w:rPr>
        <w:t>The Health and Social Care Act (2012), created a new legal responsibility for the NHS in England to deliver ‘parity of esteem’ between physical and mental health,</w:t>
      </w:r>
      <w:r w:rsidRPr="005508EA">
        <w:rPr>
          <w:rStyle w:val="FootnoteReference"/>
          <w:rFonts w:ascii="Arial" w:hAnsi="Arial" w:cs="Arial"/>
        </w:rPr>
        <w:footnoteReference w:id="1"/>
      </w:r>
      <w:r w:rsidRPr="005508EA">
        <w:rPr>
          <w:rFonts w:ascii="Arial" w:hAnsi="Arial" w:cs="Arial"/>
        </w:rPr>
        <w:t xml:space="preserve"> with a similar commitment made in Scotland’s Mental Health Strategy (2017).</w:t>
      </w:r>
      <w:r w:rsidRPr="005508EA">
        <w:rPr>
          <w:rStyle w:val="FootnoteReference"/>
          <w:rFonts w:ascii="Arial" w:hAnsi="Arial" w:cs="Arial"/>
        </w:rPr>
        <w:footnoteReference w:id="2"/>
      </w:r>
    </w:p>
    <w:p w14:paraId="38EE573F" w14:textId="056CB50F" w:rsidR="0014750F" w:rsidRPr="0006233D" w:rsidRDefault="005508EA" w:rsidP="0014750F">
      <w:pPr>
        <w:rPr>
          <w:rFonts w:ascii="Arial" w:hAnsi="Arial" w:cs="Arial"/>
        </w:rPr>
      </w:pPr>
      <w:r w:rsidRPr="005508EA">
        <w:rPr>
          <w:rFonts w:ascii="Arial" w:hAnsi="Arial" w:cs="Arial"/>
        </w:rPr>
        <w:t xml:space="preserve">If Governments across the UK are to deliver on these commitments, it is vital that the role of various specialist professional groups in supporting </w:t>
      </w:r>
      <w:r w:rsidR="00B421E3">
        <w:rPr>
          <w:rFonts w:ascii="Arial" w:hAnsi="Arial" w:cs="Arial"/>
        </w:rPr>
        <w:t>mental</w:t>
      </w:r>
      <w:r w:rsidRPr="005508EA">
        <w:rPr>
          <w:rFonts w:ascii="Arial" w:hAnsi="Arial" w:cs="Arial"/>
        </w:rPr>
        <w:t xml:space="preserve"> </w:t>
      </w:r>
      <w:r w:rsidR="005641A2">
        <w:rPr>
          <w:rFonts w:ascii="Arial" w:hAnsi="Arial" w:cs="Arial"/>
        </w:rPr>
        <w:t xml:space="preserve">wellbeing </w:t>
      </w:r>
      <w:r w:rsidRPr="005508EA">
        <w:rPr>
          <w:rFonts w:ascii="Arial" w:hAnsi="Arial" w:cs="Arial"/>
        </w:rPr>
        <w:t>is understood</w:t>
      </w:r>
      <w:r>
        <w:rPr>
          <w:rFonts w:ascii="Arial" w:hAnsi="Arial" w:cs="Arial"/>
        </w:rPr>
        <w:t xml:space="preserve">, so that opportunities to improve </w:t>
      </w:r>
      <w:r w:rsidR="009F40A4">
        <w:rPr>
          <w:rFonts w:ascii="Arial" w:hAnsi="Arial" w:cs="Arial"/>
        </w:rPr>
        <w:t xml:space="preserve">the </w:t>
      </w:r>
      <w:r>
        <w:rPr>
          <w:rFonts w:ascii="Arial" w:hAnsi="Arial" w:cs="Arial"/>
        </w:rPr>
        <w:t xml:space="preserve">mental health and wellbeing of the population can be </w:t>
      </w:r>
      <w:proofErr w:type="spellStart"/>
      <w:r>
        <w:rPr>
          <w:rFonts w:ascii="Arial" w:hAnsi="Arial" w:cs="Arial"/>
        </w:rPr>
        <w:t>maximised</w:t>
      </w:r>
      <w:proofErr w:type="spellEnd"/>
      <w:r>
        <w:rPr>
          <w:rFonts w:ascii="Arial" w:hAnsi="Arial" w:cs="Arial"/>
        </w:rPr>
        <w:t xml:space="preserve">.  </w:t>
      </w:r>
      <w:r w:rsidR="00394120">
        <w:rPr>
          <w:rFonts w:ascii="Arial" w:hAnsi="Arial" w:cs="Arial"/>
        </w:rPr>
        <w:t>This</w:t>
      </w:r>
      <w:r>
        <w:rPr>
          <w:rFonts w:ascii="Arial" w:hAnsi="Arial" w:cs="Arial"/>
        </w:rPr>
        <w:t xml:space="preserve"> paper is an introduction to the role of podiatry in </w:t>
      </w:r>
      <w:r w:rsidR="00B421E3">
        <w:rPr>
          <w:rFonts w:ascii="Arial" w:hAnsi="Arial" w:cs="Arial"/>
        </w:rPr>
        <w:t>this field and a discussion about some of the ways various podiatric interventions can support mental wellbeing.</w:t>
      </w:r>
    </w:p>
    <w:p w14:paraId="04FBAC5C" w14:textId="77777777" w:rsidR="0006233D" w:rsidRDefault="0006233D" w:rsidP="001D16C3">
      <w:pPr>
        <w:rPr>
          <w:rFonts w:ascii="Arial" w:hAnsi="Arial" w:cs="Arial"/>
          <w:b/>
          <w:bCs/>
          <w:u w:val="single"/>
        </w:rPr>
      </w:pPr>
    </w:p>
    <w:p w14:paraId="2F031841" w14:textId="79B3E240" w:rsidR="001D16C3" w:rsidRPr="005508EA" w:rsidRDefault="001D16C3" w:rsidP="001D16C3">
      <w:pPr>
        <w:rPr>
          <w:rFonts w:ascii="Arial" w:hAnsi="Arial" w:cs="Arial"/>
          <w:b/>
          <w:bCs/>
          <w:u w:val="single"/>
        </w:rPr>
      </w:pPr>
      <w:r>
        <w:rPr>
          <w:rFonts w:ascii="Arial" w:hAnsi="Arial" w:cs="Arial"/>
          <w:b/>
          <w:bCs/>
          <w:u w:val="single"/>
        </w:rPr>
        <w:t xml:space="preserve">What is </w:t>
      </w:r>
      <w:r w:rsidR="009F40A4">
        <w:rPr>
          <w:rFonts w:ascii="Arial" w:hAnsi="Arial" w:cs="Arial"/>
          <w:b/>
          <w:bCs/>
          <w:u w:val="single"/>
        </w:rPr>
        <w:t>P</w:t>
      </w:r>
      <w:r>
        <w:rPr>
          <w:rFonts w:ascii="Arial" w:hAnsi="Arial" w:cs="Arial"/>
          <w:b/>
          <w:bCs/>
          <w:u w:val="single"/>
        </w:rPr>
        <w:t>odiatry?</w:t>
      </w:r>
    </w:p>
    <w:p w14:paraId="09C692B0" w14:textId="29BF5348" w:rsidR="00DF490F" w:rsidRPr="00DF490F" w:rsidRDefault="00DF490F" w:rsidP="00DF490F">
      <w:pPr>
        <w:spacing w:after="0"/>
        <w:rPr>
          <w:rFonts w:ascii="Arial" w:hAnsi="Arial" w:cs="Arial"/>
        </w:rPr>
      </w:pPr>
      <w:r w:rsidRPr="00DF490F">
        <w:rPr>
          <w:rFonts w:ascii="Arial" w:hAnsi="Arial" w:cs="Arial"/>
        </w:rPr>
        <w:t>Podiatrists are degree-educated Allied Health Professionals who are regulated by the HCPC and work to HCPC standards of proficiency for podiatry.</w:t>
      </w:r>
      <w:r w:rsidR="00394120">
        <w:rPr>
          <w:rStyle w:val="FootnoteReference"/>
          <w:rFonts w:ascii="Arial" w:hAnsi="Arial" w:cs="Arial"/>
        </w:rPr>
        <w:footnoteReference w:id="3"/>
      </w:r>
      <w:r w:rsidRPr="00DF490F">
        <w:rPr>
          <w:rFonts w:ascii="Arial" w:hAnsi="Arial" w:cs="Arial"/>
        </w:rPr>
        <w:t xml:space="preserve">  Podiatry is a highly specialist branch of medicine which supports people with a wide variety of foot and lower limb disorders, diseases, and complications. Strong podiatry networks support populations to remain healthy, mobile, and active, which prevents complications. Podiatrists working in multidisciplinary teams, for example within general practice, add system capacity; particularly as podiatrists have well developed skills in disease management and pharmacological management.</w:t>
      </w:r>
    </w:p>
    <w:p w14:paraId="21F6115A" w14:textId="77777777" w:rsidR="00DF490F" w:rsidRPr="00DF490F" w:rsidRDefault="00DF490F" w:rsidP="00DF490F">
      <w:pPr>
        <w:spacing w:after="0"/>
        <w:rPr>
          <w:rFonts w:ascii="Arial" w:hAnsi="Arial" w:cs="Arial"/>
        </w:rPr>
      </w:pPr>
    </w:p>
    <w:p w14:paraId="780471FF" w14:textId="6A6FECA8" w:rsidR="00DF490F" w:rsidRPr="00DF490F" w:rsidRDefault="00DF490F" w:rsidP="00DF490F">
      <w:pPr>
        <w:spacing w:after="0"/>
        <w:rPr>
          <w:rFonts w:ascii="Arial" w:hAnsi="Arial" w:cs="Arial"/>
        </w:rPr>
      </w:pPr>
      <w:r w:rsidRPr="00DF490F">
        <w:rPr>
          <w:rFonts w:ascii="Arial" w:hAnsi="Arial" w:cs="Arial"/>
        </w:rPr>
        <w:t>Podiatrists take a holistic approach to public health, understanding the needs and motivations of patients as individuals and as active and equal partners in their own healthcare. This is relevant to many areas of podiatry practice including supporting recovery from ulceration, as well cardiovascular modification including supported exercise, weight management and smoking cessation programmes.</w:t>
      </w:r>
    </w:p>
    <w:p w14:paraId="78749BEA" w14:textId="4F37C407" w:rsidR="004D02AF" w:rsidRDefault="004D02AF" w:rsidP="009252A6">
      <w:pPr>
        <w:rPr>
          <w:i/>
          <w:iCs/>
        </w:rPr>
      </w:pPr>
    </w:p>
    <w:p w14:paraId="2968246D" w14:textId="1B4A21F2" w:rsidR="0006233D" w:rsidRDefault="0006233D" w:rsidP="009252A6">
      <w:pPr>
        <w:rPr>
          <w:i/>
          <w:iCs/>
        </w:rPr>
      </w:pPr>
    </w:p>
    <w:p w14:paraId="06050B2C" w14:textId="77777777" w:rsidR="0006233D" w:rsidRDefault="0006233D" w:rsidP="009252A6">
      <w:pPr>
        <w:rPr>
          <w:rFonts w:ascii="Arial" w:hAnsi="Arial" w:cs="Arial"/>
          <w:b/>
          <w:bCs/>
          <w:u w:val="single"/>
        </w:rPr>
      </w:pPr>
    </w:p>
    <w:p w14:paraId="148DA33B" w14:textId="06835C32" w:rsidR="00DF490F" w:rsidRDefault="00DF490F" w:rsidP="009252A6">
      <w:pPr>
        <w:rPr>
          <w:rFonts w:ascii="Arial" w:hAnsi="Arial" w:cs="Arial"/>
          <w:b/>
          <w:bCs/>
          <w:u w:val="single"/>
        </w:rPr>
      </w:pPr>
      <w:r>
        <w:rPr>
          <w:rFonts w:ascii="Arial" w:hAnsi="Arial" w:cs="Arial"/>
          <w:b/>
          <w:bCs/>
          <w:u w:val="single"/>
        </w:rPr>
        <w:t xml:space="preserve">How does podiatry support </w:t>
      </w:r>
      <w:proofErr w:type="gramStart"/>
      <w:r>
        <w:rPr>
          <w:rFonts w:ascii="Arial" w:hAnsi="Arial" w:cs="Arial"/>
          <w:b/>
          <w:bCs/>
          <w:u w:val="single"/>
        </w:rPr>
        <w:t>improved</w:t>
      </w:r>
      <w:proofErr w:type="gramEnd"/>
      <w:r>
        <w:rPr>
          <w:rFonts w:ascii="Arial" w:hAnsi="Arial" w:cs="Arial"/>
          <w:b/>
          <w:bCs/>
          <w:u w:val="single"/>
        </w:rPr>
        <w:t xml:space="preserve"> mental health and wellbeing?</w:t>
      </w:r>
    </w:p>
    <w:p w14:paraId="1BEA02C2" w14:textId="1215ADAF" w:rsidR="00DF490F" w:rsidRDefault="00DF490F" w:rsidP="009252A6">
      <w:pPr>
        <w:rPr>
          <w:rFonts w:ascii="Arial" w:hAnsi="Arial" w:cs="Arial"/>
          <w:u w:val="single"/>
        </w:rPr>
      </w:pPr>
      <w:r>
        <w:rPr>
          <w:rFonts w:ascii="Arial" w:hAnsi="Arial" w:cs="Arial"/>
          <w:u w:val="single"/>
        </w:rPr>
        <w:t xml:space="preserve">Keeping people healthy, </w:t>
      </w:r>
      <w:proofErr w:type="gramStart"/>
      <w:r>
        <w:rPr>
          <w:rFonts w:ascii="Arial" w:hAnsi="Arial" w:cs="Arial"/>
          <w:u w:val="single"/>
        </w:rPr>
        <w:t>mobile</w:t>
      </w:r>
      <w:proofErr w:type="gramEnd"/>
      <w:r w:rsidR="00C53471">
        <w:rPr>
          <w:rFonts w:ascii="Arial" w:hAnsi="Arial" w:cs="Arial"/>
          <w:u w:val="single"/>
        </w:rPr>
        <w:t xml:space="preserve"> </w:t>
      </w:r>
      <w:r>
        <w:rPr>
          <w:rFonts w:ascii="Arial" w:hAnsi="Arial" w:cs="Arial"/>
          <w:u w:val="single"/>
        </w:rPr>
        <w:t>and active</w:t>
      </w:r>
    </w:p>
    <w:p w14:paraId="1E47EF0B" w14:textId="5180739F" w:rsidR="00C53471" w:rsidRDefault="008E11AC" w:rsidP="009252A6">
      <w:pPr>
        <w:rPr>
          <w:rFonts w:ascii="Arial" w:hAnsi="Arial" w:cs="Arial"/>
        </w:rPr>
      </w:pPr>
      <w:r>
        <w:rPr>
          <w:rFonts w:ascii="Arial" w:hAnsi="Arial" w:cs="Arial"/>
        </w:rPr>
        <w:t>T</w:t>
      </w:r>
      <w:r w:rsidR="00C53471">
        <w:rPr>
          <w:rFonts w:ascii="Arial" w:hAnsi="Arial" w:cs="Arial"/>
        </w:rPr>
        <w:t xml:space="preserve">he aim of all podiatrists is to keep the population healthy, </w:t>
      </w:r>
      <w:proofErr w:type="gramStart"/>
      <w:r w:rsidR="00C53471">
        <w:rPr>
          <w:rFonts w:ascii="Arial" w:hAnsi="Arial" w:cs="Arial"/>
        </w:rPr>
        <w:t>mobile</w:t>
      </w:r>
      <w:proofErr w:type="gramEnd"/>
      <w:r w:rsidR="00C53471">
        <w:rPr>
          <w:rFonts w:ascii="Arial" w:hAnsi="Arial" w:cs="Arial"/>
        </w:rPr>
        <w:t xml:space="preserve"> and active. This is true at all stages of the life course however podiatric intervention is far more likely to support this outcome the earlier this takes place. Early intervention</w:t>
      </w:r>
      <w:r w:rsidR="007E772E">
        <w:rPr>
          <w:rFonts w:ascii="Arial" w:hAnsi="Arial" w:cs="Arial"/>
        </w:rPr>
        <w:t>, prevention</w:t>
      </w:r>
      <w:r w:rsidR="00C53471">
        <w:rPr>
          <w:rFonts w:ascii="Arial" w:hAnsi="Arial" w:cs="Arial"/>
        </w:rPr>
        <w:t xml:space="preserve"> </w:t>
      </w:r>
      <w:r w:rsidR="007E772E">
        <w:rPr>
          <w:rFonts w:ascii="Arial" w:hAnsi="Arial" w:cs="Arial"/>
        </w:rPr>
        <w:t xml:space="preserve">and early detection </w:t>
      </w:r>
      <w:r w:rsidR="00C53471">
        <w:rPr>
          <w:rFonts w:ascii="Arial" w:hAnsi="Arial" w:cs="Arial"/>
        </w:rPr>
        <w:t>can prevent a multitude of complications and conditions from occurring</w:t>
      </w:r>
      <w:r w:rsidR="009F40A4">
        <w:rPr>
          <w:rFonts w:ascii="Arial" w:hAnsi="Arial" w:cs="Arial"/>
        </w:rPr>
        <w:t>,</w:t>
      </w:r>
      <w:r w:rsidR="00C53471">
        <w:rPr>
          <w:rFonts w:ascii="Arial" w:hAnsi="Arial" w:cs="Arial"/>
        </w:rPr>
        <w:t xml:space="preserve"> for example diabetic foot ulceration </w:t>
      </w:r>
      <w:r w:rsidR="007E772E">
        <w:rPr>
          <w:rFonts w:ascii="Arial" w:hAnsi="Arial" w:cs="Arial"/>
        </w:rPr>
        <w:t>can be prevented</w:t>
      </w:r>
      <w:r w:rsidR="006F7FD3">
        <w:rPr>
          <w:rFonts w:ascii="Arial" w:hAnsi="Arial" w:cs="Arial"/>
        </w:rPr>
        <w:t>,</w:t>
      </w:r>
      <w:r w:rsidR="007E772E">
        <w:rPr>
          <w:rFonts w:ascii="Arial" w:hAnsi="Arial" w:cs="Arial"/>
        </w:rPr>
        <w:t xml:space="preserve"> </w:t>
      </w:r>
      <w:r w:rsidR="00C53471">
        <w:rPr>
          <w:rFonts w:ascii="Arial" w:hAnsi="Arial" w:cs="Arial"/>
        </w:rPr>
        <w:t xml:space="preserve">and </w:t>
      </w:r>
      <w:r w:rsidR="007E772E">
        <w:rPr>
          <w:rFonts w:ascii="Arial" w:hAnsi="Arial" w:cs="Arial"/>
        </w:rPr>
        <w:t xml:space="preserve">peripheral arterial </w:t>
      </w:r>
      <w:r w:rsidR="00C53471">
        <w:rPr>
          <w:rFonts w:ascii="Arial" w:hAnsi="Arial" w:cs="Arial"/>
        </w:rPr>
        <w:t xml:space="preserve">disease </w:t>
      </w:r>
      <w:r w:rsidR="007E772E">
        <w:rPr>
          <w:rFonts w:ascii="Arial" w:hAnsi="Arial" w:cs="Arial"/>
        </w:rPr>
        <w:t>can be managed</w:t>
      </w:r>
      <w:r w:rsidR="006F7FD3">
        <w:rPr>
          <w:rFonts w:ascii="Arial" w:hAnsi="Arial" w:cs="Arial"/>
        </w:rPr>
        <w:t>.  Meanwhile</w:t>
      </w:r>
      <w:r w:rsidR="00C53471">
        <w:rPr>
          <w:rFonts w:ascii="Arial" w:hAnsi="Arial" w:cs="Arial"/>
        </w:rPr>
        <w:t xml:space="preserve"> falls </w:t>
      </w:r>
      <w:r w:rsidR="001E5195">
        <w:rPr>
          <w:rFonts w:ascii="Arial" w:hAnsi="Arial" w:cs="Arial"/>
        </w:rPr>
        <w:t>cost the NHS more than £2.3bn a year</w:t>
      </w:r>
      <w:r>
        <w:rPr>
          <w:rFonts w:ascii="Arial" w:hAnsi="Arial" w:cs="Arial"/>
        </w:rPr>
        <w:t>.</w:t>
      </w:r>
      <w:r w:rsidR="001E5195">
        <w:rPr>
          <w:rStyle w:val="FootnoteReference"/>
          <w:rFonts w:ascii="Arial" w:hAnsi="Arial" w:cs="Arial"/>
        </w:rPr>
        <w:footnoteReference w:id="4"/>
      </w:r>
    </w:p>
    <w:p w14:paraId="0E352686" w14:textId="5525C57C" w:rsidR="008E11AC" w:rsidRDefault="008E11AC" w:rsidP="009252A6">
      <w:pPr>
        <w:rPr>
          <w:rFonts w:ascii="Arial" w:hAnsi="Arial" w:cs="Arial"/>
        </w:rPr>
      </w:pPr>
      <w:r>
        <w:rPr>
          <w:rFonts w:ascii="Arial" w:hAnsi="Arial" w:cs="Arial"/>
        </w:rPr>
        <w:t xml:space="preserve">It is important to </w:t>
      </w:r>
      <w:proofErr w:type="spellStart"/>
      <w:r>
        <w:rPr>
          <w:rFonts w:ascii="Arial" w:hAnsi="Arial" w:cs="Arial"/>
        </w:rPr>
        <w:t>recognise</w:t>
      </w:r>
      <w:proofErr w:type="spellEnd"/>
      <w:r>
        <w:rPr>
          <w:rFonts w:ascii="Arial" w:hAnsi="Arial" w:cs="Arial"/>
        </w:rPr>
        <w:t xml:space="preserve"> the impact that these complications and conditions have from a mental health perspective, as well as the physical and financial cost associated with them.</w:t>
      </w:r>
      <w:r w:rsidR="008542EF">
        <w:rPr>
          <w:rFonts w:ascii="Arial" w:hAnsi="Arial" w:cs="Arial"/>
        </w:rPr>
        <w:t xml:space="preserve">  To take one example, Podiatric intervention can support people to recover from acute MSK injuries which allow people to take part in group sport and individual exercise and activity, which can reduce social isolation, improve fitness</w:t>
      </w:r>
      <w:r w:rsidR="001F43D9">
        <w:rPr>
          <w:rFonts w:ascii="Arial" w:hAnsi="Arial" w:cs="Arial"/>
        </w:rPr>
        <w:t>, keep people in work</w:t>
      </w:r>
      <w:r w:rsidR="008542EF">
        <w:rPr>
          <w:rFonts w:ascii="Arial" w:hAnsi="Arial" w:cs="Arial"/>
        </w:rPr>
        <w:t xml:space="preserve"> and therefore increase positive mental health and wellbeing more generally.</w:t>
      </w:r>
    </w:p>
    <w:p w14:paraId="29CEAC81" w14:textId="49D8E9C6" w:rsidR="00DB5FD5" w:rsidRDefault="00DB5FD5" w:rsidP="009252A6">
      <w:pPr>
        <w:rPr>
          <w:rFonts w:ascii="Arial" w:hAnsi="Arial" w:cs="Arial"/>
        </w:rPr>
      </w:pPr>
      <w:r>
        <w:rPr>
          <w:rFonts w:ascii="Arial" w:hAnsi="Arial" w:cs="Arial"/>
          <w:noProof/>
          <w:u w:val="single"/>
        </w:rPr>
        <mc:AlternateContent>
          <mc:Choice Requires="wps">
            <w:drawing>
              <wp:anchor distT="0" distB="0" distL="114300" distR="114300" simplePos="0" relativeHeight="251657215" behindDoc="0" locked="0" layoutInCell="1" allowOverlap="1" wp14:anchorId="0B188D45" wp14:editId="601B8E4F">
                <wp:simplePos x="0" y="0"/>
                <wp:positionH relativeFrom="margin">
                  <wp:posOffset>-184150</wp:posOffset>
                </wp:positionH>
                <wp:positionV relativeFrom="paragraph">
                  <wp:posOffset>119380</wp:posOffset>
                </wp:positionV>
                <wp:extent cx="6349365" cy="1720850"/>
                <wp:effectExtent l="19050" t="19050" r="32385" b="31750"/>
                <wp:wrapNone/>
                <wp:docPr id="2" name="Rectangle 2"/>
                <wp:cNvGraphicFramePr/>
                <a:graphic xmlns:a="http://schemas.openxmlformats.org/drawingml/2006/main">
                  <a:graphicData uri="http://schemas.microsoft.com/office/word/2010/wordprocessingShape">
                    <wps:wsp>
                      <wps:cNvSpPr/>
                      <wps:spPr>
                        <a:xfrm>
                          <a:off x="0" y="0"/>
                          <a:ext cx="6349365" cy="1720850"/>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A5E37" id="Rectangle 2" o:spid="_x0000_s1026" style="position:absolute;margin-left:-14.5pt;margin-top:9.4pt;width:499.95pt;height:135.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" filled="f" strokecolor="#1f3763 [1604]" strokeweight="4pt">
                <w10:wrap anchorx="margin"/>
              </v:rect>
            </w:pict>
          </mc:Fallback>
        </mc:AlternateContent>
      </w:r>
    </w:p>
    <w:p w14:paraId="4B0212AD" w14:textId="66306633" w:rsidR="00C53471" w:rsidRPr="0006233D" w:rsidRDefault="00DB5FD5" w:rsidP="009252A6">
      <w:pPr>
        <w:rPr>
          <w:rFonts w:ascii="Arial" w:hAnsi="Arial" w:cs="Arial"/>
          <w:sz w:val="20"/>
          <w:szCs w:val="20"/>
        </w:rPr>
      </w:pPr>
      <w:r w:rsidRPr="0006233D">
        <w:rPr>
          <w:rFonts w:ascii="Arial" w:hAnsi="Arial" w:cs="Arial"/>
          <w:b/>
          <w:bCs/>
          <w:u w:val="single"/>
        </w:rPr>
        <w:t xml:space="preserve">Patient case study </w:t>
      </w:r>
      <w:r w:rsidRPr="0006233D">
        <w:rPr>
          <w:rStyle w:val="FootnoteReference"/>
          <w:rFonts w:ascii="Arial" w:hAnsi="Arial" w:cs="Arial"/>
          <w:u w:val="single"/>
        </w:rPr>
        <w:footnoteReference w:id="5"/>
      </w:r>
    </w:p>
    <w:p w14:paraId="0B2CFC30" w14:textId="642118C2" w:rsidR="008542EF" w:rsidRPr="0006233D" w:rsidRDefault="008542EF" w:rsidP="009252A6">
      <w:pPr>
        <w:rPr>
          <w:rFonts w:ascii="Arial" w:hAnsi="Arial" w:cs="Arial"/>
          <w:b/>
          <w:bCs/>
          <w:u w:val="single"/>
        </w:rPr>
      </w:pPr>
      <w:r w:rsidRPr="0006233D">
        <w:rPr>
          <w:rFonts w:ascii="Arial" w:hAnsi="Arial" w:cs="Arial"/>
        </w:rPr>
        <w:t xml:space="preserve">Callum is 11 years old and enjoys playing rugby with his friends. He had heel pain for over 12 months </w:t>
      </w:r>
      <w:r w:rsidR="009F40A4" w:rsidRPr="0006233D">
        <w:rPr>
          <w:rFonts w:ascii="Arial" w:hAnsi="Arial" w:cs="Arial"/>
        </w:rPr>
        <w:t>which</w:t>
      </w:r>
      <w:r w:rsidRPr="0006233D">
        <w:rPr>
          <w:rFonts w:ascii="Arial" w:hAnsi="Arial" w:cs="Arial"/>
        </w:rPr>
        <w:t xml:space="preserve"> reduced his time on the pitch and ability to play with his friends. He was eventually referred to a podiatrist after unsuccessful attempts to treat his pain. On Callum’s first visit, the </w:t>
      </w:r>
      <w:proofErr w:type="spellStart"/>
      <w:r w:rsidRPr="0006233D">
        <w:rPr>
          <w:rFonts w:ascii="Arial" w:hAnsi="Arial" w:cs="Arial"/>
        </w:rPr>
        <w:t>paediatric</w:t>
      </w:r>
      <w:proofErr w:type="spellEnd"/>
      <w:r w:rsidRPr="0006233D">
        <w:rPr>
          <w:rFonts w:ascii="Arial" w:hAnsi="Arial" w:cs="Arial"/>
        </w:rPr>
        <w:t xml:space="preserve"> podiatrist explored what was causing pain and how to manage his pain. This included a discussion about how to keep active whilst </w:t>
      </w:r>
      <w:r w:rsidR="009F40A4" w:rsidRPr="0006233D">
        <w:rPr>
          <w:rFonts w:ascii="Arial" w:hAnsi="Arial" w:cs="Arial"/>
        </w:rPr>
        <w:t xml:space="preserve">he was </w:t>
      </w:r>
      <w:r w:rsidRPr="0006233D">
        <w:rPr>
          <w:rFonts w:ascii="Arial" w:hAnsi="Arial" w:cs="Arial"/>
        </w:rPr>
        <w:t xml:space="preserve">vulnerable to injury. The podiatrist agreed an </w:t>
      </w:r>
      <w:proofErr w:type="spellStart"/>
      <w:r w:rsidRPr="0006233D">
        <w:rPr>
          <w:rFonts w:ascii="Arial" w:hAnsi="Arial" w:cs="Arial"/>
        </w:rPr>
        <w:t>individualised</w:t>
      </w:r>
      <w:proofErr w:type="spellEnd"/>
      <w:r w:rsidRPr="0006233D">
        <w:rPr>
          <w:rFonts w:ascii="Arial" w:hAnsi="Arial" w:cs="Arial"/>
        </w:rPr>
        <w:t xml:space="preserve"> home programme including rehabilitation strategies. His pain was well managed within 6 </w:t>
      </w:r>
      <w:proofErr w:type="gramStart"/>
      <w:r w:rsidRPr="0006233D">
        <w:rPr>
          <w:rFonts w:ascii="Arial" w:hAnsi="Arial" w:cs="Arial"/>
        </w:rPr>
        <w:t>weeks</w:t>
      </w:r>
      <w:proofErr w:type="gramEnd"/>
      <w:r w:rsidRPr="0006233D">
        <w:rPr>
          <w:rFonts w:ascii="Arial" w:hAnsi="Arial" w:cs="Arial"/>
        </w:rPr>
        <w:t xml:space="preserve"> and he was able to fully return to sport and his friendship group.</w:t>
      </w:r>
    </w:p>
    <w:p w14:paraId="6291D6F0" w14:textId="77777777" w:rsidR="001F43D9" w:rsidRDefault="001F43D9" w:rsidP="009252A6">
      <w:pPr>
        <w:rPr>
          <w:rFonts w:ascii="Arial" w:hAnsi="Arial" w:cs="Arial"/>
          <w:u w:val="single"/>
        </w:rPr>
      </w:pPr>
    </w:p>
    <w:p w14:paraId="4087F268" w14:textId="57EC67CB" w:rsidR="00DF490F" w:rsidRDefault="00DF490F" w:rsidP="009252A6">
      <w:pPr>
        <w:rPr>
          <w:rFonts w:ascii="Arial" w:hAnsi="Arial" w:cs="Arial"/>
          <w:u w:val="single"/>
        </w:rPr>
      </w:pPr>
      <w:r>
        <w:rPr>
          <w:rFonts w:ascii="Arial" w:hAnsi="Arial" w:cs="Arial"/>
          <w:u w:val="single"/>
        </w:rPr>
        <w:t>Supporting public health approache</w:t>
      </w:r>
      <w:r w:rsidR="009A0FDF">
        <w:rPr>
          <w:rFonts w:ascii="Arial" w:hAnsi="Arial" w:cs="Arial"/>
          <w:u w:val="single"/>
        </w:rPr>
        <w:t>s</w:t>
      </w:r>
      <w:r>
        <w:rPr>
          <w:rFonts w:ascii="Arial" w:hAnsi="Arial" w:cs="Arial"/>
          <w:u w:val="single"/>
        </w:rPr>
        <w:t xml:space="preserve"> (</w:t>
      </w:r>
      <w:proofErr w:type="gramStart"/>
      <w:r>
        <w:rPr>
          <w:rFonts w:ascii="Arial" w:hAnsi="Arial" w:cs="Arial"/>
          <w:u w:val="single"/>
        </w:rPr>
        <w:t>e.g.</w:t>
      </w:r>
      <w:proofErr w:type="gramEnd"/>
      <w:r>
        <w:rPr>
          <w:rFonts w:ascii="Arial" w:hAnsi="Arial" w:cs="Arial"/>
          <w:u w:val="single"/>
        </w:rPr>
        <w:t xml:space="preserve"> smoking cessation services, social prescribing </w:t>
      </w:r>
      <w:r w:rsidR="0022174E">
        <w:rPr>
          <w:rFonts w:ascii="Arial" w:hAnsi="Arial" w:cs="Arial"/>
          <w:u w:val="single"/>
        </w:rPr>
        <w:t>programmes</w:t>
      </w:r>
      <w:r>
        <w:rPr>
          <w:rFonts w:ascii="Arial" w:hAnsi="Arial" w:cs="Arial"/>
          <w:u w:val="single"/>
        </w:rPr>
        <w:t>)</w:t>
      </w:r>
    </w:p>
    <w:p w14:paraId="0666E53A" w14:textId="7B0ED207" w:rsidR="009A0FDF" w:rsidRDefault="009646F9" w:rsidP="007E6FA4">
      <w:pPr>
        <w:rPr>
          <w:rFonts w:ascii="Arial" w:hAnsi="Arial" w:cs="Arial"/>
        </w:rPr>
      </w:pPr>
      <w:r>
        <w:rPr>
          <w:rFonts w:ascii="Arial" w:hAnsi="Arial" w:cs="Arial"/>
        </w:rPr>
        <w:t xml:space="preserve">Podiatrists are trained to deliver their care and interventions through a public health lens.  Many of the treatment options which podiatrists deliver </w:t>
      </w:r>
      <w:proofErr w:type="gramStart"/>
      <w:r>
        <w:rPr>
          <w:rFonts w:ascii="Arial" w:hAnsi="Arial" w:cs="Arial"/>
        </w:rPr>
        <w:t>have to</w:t>
      </w:r>
      <w:proofErr w:type="gramEnd"/>
      <w:r>
        <w:rPr>
          <w:rFonts w:ascii="Arial" w:hAnsi="Arial" w:cs="Arial"/>
        </w:rPr>
        <w:t xml:space="preserve"> be offered in a holistic way in order for them to be most effective. For example, a patient who is receiving treatment for a diabetic foot ulcer will be more likely to heal when </w:t>
      </w:r>
      <w:r w:rsidR="00097507">
        <w:rPr>
          <w:rFonts w:ascii="Arial" w:hAnsi="Arial" w:cs="Arial"/>
        </w:rPr>
        <w:t xml:space="preserve">their </w:t>
      </w:r>
      <w:r>
        <w:rPr>
          <w:rFonts w:ascii="Arial" w:hAnsi="Arial" w:cs="Arial"/>
        </w:rPr>
        <w:t xml:space="preserve">podiatric intervention is combined with other public health approaches, for example, access to smoking cessation services.  </w:t>
      </w:r>
    </w:p>
    <w:p w14:paraId="4433BC2A" w14:textId="23C24BC6" w:rsidR="008E53C6" w:rsidRPr="008E53C6" w:rsidRDefault="008E53C6" w:rsidP="008E53C6">
      <w:pPr>
        <w:rPr>
          <w:rFonts w:ascii="Arial" w:hAnsi="Arial" w:cs="Arial"/>
          <w:bCs/>
        </w:rPr>
      </w:pPr>
      <w:r w:rsidRPr="008E53C6">
        <w:rPr>
          <w:rFonts w:ascii="Arial" w:hAnsi="Arial" w:cs="Arial"/>
        </w:rPr>
        <w:t xml:space="preserve">Social prescribing programmes such as access to exercise classes can be a very effective form of treatment for </w:t>
      </w:r>
      <w:r w:rsidR="001F43D9">
        <w:rPr>
          <w:rFonts w:ascii="Arial" w:hAnsi="Arial" w:cs="Arial"/>
        </w:rPr>
        <w:t>people suffering from MSK complications</w:t>
      </w:r>
      <w:r w:rsidRPr="008E53C6">
        <w:rPr>
          <w:rFonts w:ascii="Arial" w:hAnsi="Arial" w:cs="Arial"/>
        </w:rPr>
        <w:t xml:space="preserve">.  Social prescribing of physical activity </w:t>
      </w:r>
      <w:r w:rsidRPr="008E53C6">
        <w:rPr>
          <w:rFonts w:ascii="Arial" w:hAnsi="Arial" w:cs="Arial"/>
        </w:rPr>
        <w:lastRenderedPageBreak/>
        <w:t>and sport activities for individuals is a critical part of delivering holistic and person-</w:t>
      </w:r>
      <w:proofErr w:type="spellStart"/>
      <w:r w:rsidRPr="008E53C6">
        <w:rPr>
          <w:rFonts w:ascii="Arial" w:hAnsi="Arial" w:cs="Arial"/>
        </w:rPr>
        <w:t>centred</w:t>
      </w:r>
      <w:proofErr w:type="spellEnd"/>
      <w:r w:rsidRPr="008E53C6">
        <w:rPr>
          <w:rFonts w:ascii="Arial" w:hAnsi="Arial" w:cs="Arial"/>
        </w:rPr>
        <w:t xml:space="preserve"> care, which can stimulate sustained participation in exercise, and improve overall health and wellbeing.</w:t>
      </w:r>
      <w:r>
        <w:rPr>
          <w:rStyle w:val="FootnoteReference"/>
          <w:rFonts w:ascii="Arial" w:hAnsi="Arial" w:cs="Arial"/>
        </w:rPr>
        <w:footnoteReference w:id="6"/>
      </w:r>
      <w:r w:rsidRPr="008E53C6">
        <w:rPr>
          <w:rFonts w:ascii="Arial" w:hAnsi="Arial" w:cs="Arial"/>
        </w:rPr>
        <w:t xml:space="preserve"> </w:t>
      </w:r>
      <w:r w:rsidRPr="008E53C6">
        <w:rPr>
          <w:rFonts w:ascii="Arial" w:hAnsi="Arial" w:cs="Arial"/>
          <w:bCs/>
        </w:rPr>
        <w:t>Podiatrists report anecdotally that they receive very positive feedback from their patients who they have</w:t>
      </w:r>
      <w:r w:rsidR="007E772E">
        <w:rPr>
          <w:rFonts w:ascii="Arial" w:hAnsi="Arial" w:cs="Arial"/>
          <w:bCs/>
        </w:rPr>
        <w:t xml:space="preserve"> </w:t>
      </w:r>
      <w:r w:rsidRPr="008E53C6">
        <w:rPr>
          <w:rFonts w:ascii="Arial" w:hAnsi="Arial" w:cs="Arial"/>
          <w:bCs/>
        </w:rPr>
        <w:t>referred to sport and physical activity programmes in the community.</w:t>
      </w:r>
      <w:r>
        <w:rPr>
          <w:rStyle w:val="FootnoteReference"/>
          <w:rFonts w:ascii="Arial" w:hAnsi="Arial" w:cs="Arial"/>
          <w:bCs/>
        </w:rPr>
        <w:footnoteReference w:id="7"/>
      </w:r>
      <w:r w:rsidRPr="008E53C6">
        <w:rPr>
          <w:rFonts w:ascii="Arial" w:hAnsi="Arial" w:cs="Arial"/>
          <w:bCs/>
        </w:rPr>
        <w:t xml:space="preserve"> Patients who are referred to such programmes have regular (depending on their individual need) </w:t>
      </w:r>
      <w:r w:rsidR="001F43D9">
        <w:rPr>
          <w:rFonts w:ascii="Arial" w:hAnsi="Arial" w:cs="Arial"/>
          <w:bCs/>
        </w:rPr>
        <w:t>follow up appointments</w:t>
      </w:r>
      <w:r w:rsidR="004B6F59">
        <w:rPr>
          <w:rFonts w:ascii="Arial" w:hAnsi="Arial" w:cs="Arial"/>
          <w:bCs/>
        </w:rPr>
        <w:t xml:space="preserve"> as necessary until they are comfortable to self-manage</w:t>
      </w:r>
      <w:r w:rsidRPr="008E53C6">
        <w:rPr>
          <w:rFonts w:ascii="Arial" w:hAnsi="Arial" w:cs="Arial"/>
          <w:bCs/>
        </w:rPr>
        <w:t>.</w:t>
      </w:r>
      <w:r>
        <w:rPr>
          <w:rStyle w:val="FootnoteReference"/>
          <w:rFonts w:ascii="Arial" w:hAnsi="Arial" w:cs="Arial"/>
          <w:bCs/>
        </w:rPr>
        <w:footnoteReference w:id="8"/>
      </w:r>
      <w:r w:rsidRPr="008E53C6">
        <w:rPr>
          <w:rFonts w:ascii="Arial" w:hAnsi="Arial" w:cs="Arial"/>
          <w:bCs/>
        </w:rPr>
        <w:t xml:space="preserve"> </w:t>
      </w:r>
    </w:p>
    <w:p w14:paraId="451C2393" w14:textId="0FC68003" w:rsidR="008E53C6" w:rsidRPr="008E53C6" w:rsidRDefault="008E53C6" w:rsidP="007E6FA4">
      <w:pPr>
        <w:rPr>
          <w:rFonts w:ascii="Arial" w:hAnsi="Arial" w:cs="Arial"/>
        </w:rPr>
      </w:pPr>
    </w:p>
    <w:p w14:paraId="1B5620BC" w14:textId="0B3CCFB8" w:rsidR="007E6FA4" w:rsidRDefault="007E6FA4" w:rsidP="007E6FA4">
      <w:pPr>
        <w:rPr>
          <w:rFonts w:ascii="Arial" w:hAnsi="Arial" w:cs="Arial"/>
          <w:u w:val="single"/>
        </w:rPr>
      </w:pPr>
      <w:r>
        <w:rPr>
          <w:rFonts w:ascii="Arial" w:hAnsi="Arial" w:cs="Arial"/>
          <w:u w:val="single"/>
        </w:rPr>
        <w:t xml:space="preserve">Specialist podiatry services funded from mental </w:t>
      </w:r>
      <w:r w:rsidR="00E0113A">
        <w:rPr>
          <w:rFonts w:ascii="Arial" w:hAnsi="Arial" w:cs="Arial"/>
          <w:u w:val="single"/>
        </w:rPr>
        <w:t>health</w:t>
      </w:r>
    </w:p>
    <w:p w14:paraId="36F96BE9" w14:textId="55165EC2" w:rsidR="008E4FFB" w:rsidRDefault="008E4FFB" w:rsidP="007E6FA4">
      <w:pPr>
        <w:rPr>
          <w:rFonts w:ascii="Arial" w:hAnsi="Arial" w:cs="Arial"/>
        </w:rPr>
      </w:pPr>
      <w:r>
        <w:rPr>
          <w:rFonts w:ascii="Arial" w:hAnsi="Arial" w:cs="Arial"/>
        </w:rPr>
        <w:t>The number of podiatrists who work in the NHS and are funded out of the mental health budget directly is</w:t>
      </w:r>
      <w:r w:rsidR="007E772E">
        <w:rPr>
          <w:rFonts w:ascii="Arial" w:hAnsi="Arial" w:cs="Arial"/>
        </w:rPr>
        <w:t xml:space="preserve"> still marginal</w:t>
      </w:r>
      <w:r>
        <w:rPr>
          <w:rFonts w:ascii="Arial" w:hAnsi="Arial" w:cs="Arial"/>
        </w:rPr>
        <w:t>, however, there are some</w:t>
      </w:r>
      <w:r w:rsidR="007E772E">
        <w:rPr>
          <w:rFonts w:ascii="Arial" w:hAnsi="Arial" w:cs="Arial"/>
        </w:rPr>
        <w:t xml:space="preserve"> encouraging</w:t>
      </w:r>
      <w:r>
        <w:rPr>
          <w:rFonts w:ascii="Arial" w:hAnsi="Arial" w:cs="Arial"/>
        </w:rPr>
        <w:t xml:space="preserve"> examples from around the UK of where this arrangement works.</w:t>
      </w:r>
    </w:p>
    <w:p w14:paraId="3B48DBBC" w14:textId="53CCFFA2" w:rsidR="001F43D9" w:rsidRDefault="008E4FFB" w:rsidP="008D6270">
      <w:pPr>
        <w:rPr>
          <w:rFonts w:ascii="Arial" w:hAnsi="Arial" w:cs="Arial"/>
        </w:rPr>
      </w:pPr>
      <w:r>
        <w:rPr>
          <w:rFonts w:ascii="Arial" w:hAnsi="Arial" w:cs="Arial"/>
        </w:rPr>
        <w:t xml:space="preserve">In NHS </w:t>
      </w:r>
      <w:proofErr w:type="spellStart"/>
      <w:r>
        <w:rPr>
          <w:rFonts w:ascii="Arial" w:hAnsi="Arial" w:cs="Arial"/>
        </w:rPr>
        <w:t>Tayside</w:t>
      </w:r>
      <w:proofErr w:type="spellEnd"/>
      <w:r w:rsidR="00687946">
        <w:rPr>
          <w:rFonts w:ascii="Arial" w:hAnsi="Arial" w:cs="Arial"/>
        </w:rPr>
        <w:t>,</w:t>
      </w:r>
      <w:r w:rsidR="0048593B">
        <w:rPr>
          <w:rFonts w:ascii="Arial" w:hAnsi="Arial" w:cs="Arial"/>
        </w:rPr>
        <w:t xml:space="preserve"> podiatry services are funded from the NHS Board’s mental health budget to provide a range of preventative podiatric services to psychiatric patients. </w:t>
      </w:r>
      <w:r w:rsidR="00687946">
        <w:rPr>
          <w:rFonts w:ascii="Arial" w:hAnsi="Arial" w:cs="Arial"/>
        </w:rPr>
        <w:t xml:space="preserve"> </w:t>
      </w:r>
      <w:r w:rsidR="0048593B">
        <w:rPr>
          <w:rFonts w:ascii="Arial" w:hAnsi="Arial" w:cs="Arial"/>
        </w:rPr>
        <w:t xml:space="preserve">This supports physical health care, </w:t>
      </w:r>
      <w:proofErr w:type="gramStart"/>
      <w:r w:rsidR="0048593B">
        <w:rPr>
          <w:rFonts w:ascii="Arial" w:hAnsi="Arial" w:cs="Arial"/>
        </w:rPr>
        <w:t>prevention</w:t>
      </w:r>
      <w:proofErr w:type="gramEnd"/>
      <w:r w:rsidR="0048593B">
        <w:rPr>
          <w:rFonts w:ascii="Arial" w:hAnsi="Arial" w:cs="Arial"/>
        </w:rPr>
        <w:t xml:space="preserve"> and health promotion.</w:t>
      </w:r>
    </w:p>
    <w:p w14:paraId="43797653" w14:textId="77777777" w:rsidR="0048593B" w:rsidRPr="0006233D" w:rsidRDefault="0048593B" w:rsidP="008D6270">
      <w:pPr>
        <w:rPr>
          <w:rFonts w:ascii="Arial" w:hAnsi="Arial" w:cs="Arial"/>
          <w:color w:val="000000" w:themeColor="text1"/>
        </w:rPr>
      </w:pPr>
    </w:p>
    <w:p w14:paraId="3F8CFC25" w14:textId="2EFE2300" w:rsidR="00687946" w:rsidRPr="00DB5FD5" w:rsidRDefault="00226779" w:rsidP="00687946">
      <w:pPr>
        <w:rPr>
          <w:rFonts w:ascii="Arial" w:hAnsi="Arial" w:cs="Arial"/>
        </w:rPr>
      </w:pPr>
      <w:r>
        <w:rPr>
          <w:rFonts w:ascii="Arial" w:hAnsi="Arial" w:cs="Arial"/>
          <w:noProof/>
          <w:u w:val="single"/>
        </w:rPr>
        <mc:AlternateContent>
          <mc:Choice Requires="wps">
            <w:drawing>
              <wp:anchor distT="0" distB="0" distL="114300" distR="114300" simplePos="0" relativeHeight="251660288" behindDoc="0" locked="0" layoutInCell="1" allowOverlap="1" wp14:anchorId="0A76C484" wp14:editId="792362CB">
                <wp:simplePos x="0" y="0"/>
                <wp:positionH relativeFrom="margin">
                  <wp:posOffset>-158750</wp:posOffset>
                </wp:positionH>
                <wp:positionV relativeFrom="paragraph">
                  <wp:posOffset>309880</wp:posOffset>
                </wp:positionV>
                <wp:extent cx="6349365" cy="2330450"/>
                <wp:effectExtent l="19050" t="19050" r="32385" b="31750"/>
                <wp:wrapNone/>
                <wp:docPr id="3" name="Rectangle 3"/>
                <wp:cNvGraphicFramePr/>
                <a:graphic xmlns:a="http://schemas.openxmlformats.org/drawingml/2006/main">
                  <a:graphicData uri="http://schemas.microsoft.com/office/word/2010/wordprocessingShape">
                    <wps:wsp>
                      <wps:cNvSpPr/>
                      <wps:spPr>
                        <a:xfrm>
                          <a:off x="0" y="0"/>
                          <a:ext cx="6349365" cy="2330450"/>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651" id="Rectangle 3" o:spid="_x0000_s1026" style="position:absolute;margin-left:-12.5pt;margin-top:24.4pt;width:499.95pt;height:1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" filled="f" strokecolor="#1f3763 [1604]" strokeweight="4pt">
                <w10:wrap anchorx="margin"/>
              </v:rect>
            </w:pict>
          </mc:Fallback>
        </mc:AlternateContent>
      </w:r>
      <w:r w:rsidR="00687946">
        <w:rPr>
          <w:rFonts w:ascii="Arial" w:hAnsi="Arial" w:cs="Arial"/>
          <w:b/>
          <w:bCs/>
          <w:sz w:val="24"/>
          <w:szCs w:val="24"/>
          <w:u w:val="single"/>
        </w:rPr>
        <w:t>Podiatrist</w:t>
      </w:r>
      <w:r w:rsidR="00D55B68">
        <w:rPr>
          <w:rFonts w:ascii="Arial" w:hAnsi="Arial" w:cs="Arial"/>
          <w:b/>
          <w:bCs/>
          <w:sz w:val="24"/>
          <w:szCs w:val="24"/>
          <w:u w:val="single"/>
        </w:rPr>
        <w:t xml:space="preserve"> </w:t>
      </w:r>
      <w:r w:rsidR="00687946">
        <w:rPr>
          <w:rFonts w:ascii="Arial" w:hAnsi="Arial" w:cs="Arial"/>
          <w:b/>
          <w:bCs/>
          <w:sz w:val="24"/>
          <w:szCs w:val="24"/>
          <w:u w:val="single"/>
        </w:rPr>
        <w:t xml:space="preserve">case study </w:t>
      </w:r>
      <w:r w:rsidR="00687946" w:rsidRPr="00DB5FD5">
        <w:rPr>
          <w:rStyle w:val="FootnoteReference"/>
          <w:rFonts w:ascii="Arial" w:hAnsi="Arial" w:cs="Arial"/>
          <w:sz w:val="24"/>
          <w:szCs w:val="24"/>
          <w:u w:val="single"/>
        </w:rPr>
        <w:footnoteReference w:id="9"/>
      </w:r>
    </w:p>
    <w:p w14:paraId="3584AEB5" w14:textId="77777777" w:rsidR="0048365B" w:rsidRDefault="0048365B" w:rsidP="00102227">
      <w:pPr>
        <w:rPr>
          <w:rFonts w:ascii="Arial" w:hAnsi="Arial" w:cs="Arial"/>
          <w:u w:val="single"/>
        </w:rPr>
      </w:pPr>
    </w:p>
    <w:p w14:paraId="35462EEC" w14:textId="3126B89A" w:rsidR="00102227" w:rsidRPr="0048365B" w:rsidRDefault="00102227" w:rsidP="00102227">
      <w:pPr>
        <w:rPr>
          <w:rFonts w:ascii="Arial" w:hAnsi="Arial" w:cs="Arial"/>
        </w:rPr>
      </w:pPr>
      <w:r w:rsidRPr="0048365B">
        <w:rPr>
          <w:rFonts w:ascii="Arial" w:hAnsi="Arial" w:cs="Arial"/>
        </w:rPr>
        <w:t xml:space="preserve">Working within mental health it is important that the </w:t>
      </w:r>
      <w:r w:rsidR="0048365B" w:rsidRPr="0048365B">
        <w:rPr>
          <w:rFonts w:ascii="Arial" w:hAnsi="Arial" w:cs="Arial"/>
        </w:rPr>
        <w:t>p</w:t>
      </w:r>
      <w:r w:rsidRPr="0048365B">
        <w:rPr>
          <w:rFonts w:ascii="Arial" w:hAnsi="Arial" w:cs="Arial"/>
        </w:rPr>
        <w:t xml:space="preserve">odiatrist </w:t>
      </w:r>
      <w:proofErr w:type="gramStart"/>
      <w:r w:rsidRPr="0048365B">
        <w:rPr>
          <w:rFonts w:ascii="Arial" w:hAnsi="Arial" w:cs="Arial"/>
        </w:rPr>
        <w:t>has an understanding of</w:t>
      </w:r>
      <w:proofErr w:type="gramEnd"/>
      <w:r w:rsidRPr="0048365B">
        <w:rPr>
          <w:rFonts w:ascii="Arial" w:hAnsi="Arial" w:cs="Arial"/>
        </w:rPr>
        <w:t xml:space="preserve"> mental health and can acknowledge the associated factors between mental health, physical health and foot</w:t>
      </w:r>
      <w:r w:rsidR="0048365B" w:rsidRPr="0048365B">
        <w:rPr>
          <w:rFonts w:ascii="Arial" w:hAnsi="Arial" w:cs="Arial"/>
        </w:rPr>
        <w:t xml:space="preserve"> </w:t>
      </w:r>
      <w:r w:rsidRPr="0048365B">
        <w:rPr>
          <w:rFonts w:ascii="Arial" w:hAnsi="Arial" w:cs="Arial"/>
        </w:rPr>
        <w:t xml:space="preserve">health.  </w:t>
      </w:r>
    </w:p>
    <w:p w14:paraId="6FAF2294" w14:textId="56334BE0" w:rsidR="00687946" w:rsidRPr="0048365B" w:rsidRDefault="00102227" w:rsidP="00102227">
      <w:pPr>
        <w:rPr>
          <w:rFonts w:ascii="Arial" w:hAnsi="Arial" w:cs="Arial"/>
        </w:rPr>
      </w:pPr>
      <w:r w:rsidRPr="0048365B">
        <w:rPr>
          <w:rFonts w:ascii="Arial" w:hAnsi="Arial" w:cs="Arial"/>
        </w:rPr>
        <w:t>In 'Delivering for Mental Health' the mental health Delivery plan for Scotland (Scottish Executive, 2006)</w:t>
      </w:r>
      <w:r w:rsidR="001F43D9" w:rsidRPr="001F43D9">
        <w:rPr>
          <w:rStyle w:val="FootnoteReference"/>
          <w:rFonts w:ascii="Arial" w:hAnsi="Arial" w:cs="Arial"/>
        </w:rPr>
        <w:t xml:space="preserve"> </w:t>
      </w:r>
      <w:r w:rsidR="001F43D9" w:rsidRPr="0048365B">
        <w:rPr>
          <w:rStyle w:val="FootnoteReference"/>
          <w:rFonts w:ascii="Arial" w:hAnsi="Arial" w:cs="Arial"/>
        </w:rPr>
        <w:footnoteReference w:id="10"/>
      </w:r>
      <w:r w:rsidRPr="0048365B">
        <w:rPr>
          <w:rFonts w:ascii="Arial" w:hAnsi="Arial" w:cs="Arial"/>
        </w:rPr>
        <w:t xml:space="preserve"> it states that "those who suffer from mental illness have greater risk of, and higher rates of heart disease, diabetes, respiratory disease and infections. They also have higher rates of smoking, alcohol consumption and drug misuse. They die younger and have a poorer quality of life. It is also recognised that people who have severe mental illness often experience difficulties accessing services appropriate to their physical health care, prevention and health promotion needs. Thus, different and targeted responses to treating this group’s physical health problems and promoting their overall health are needed."</w:t>
      </w:r>
      <w:r w:rsidRPr="0048365B">
        <w:rPr>
          <w:rStyle w:val="FootnoteReference"/>
          <w:rFonts w:ascii="Arial" w:hAnsi="Arial" w:cs="Arial"/>
        </w:rPr>
        <w:footnoteReference w:id="11"/>
      </w:r>
    </w:p>
    <w:p w14:paraId="0F0F5EC2" w14:textId="5D91F59D" w:rsidR="00BA36F2" w:rsidRDefault="00BA36F2" w:rsidP="008D6270">
      <w:pPr>
        <w:rPr>
          <w:rFonts w:ascii="Arial" w:hAnsi="Arial" w:cs="Arial"/>
          <w:u w:val="single"/>
        </w:rPr>
      </w:pPr>
    </w:p>
    <w:p w14:paraId="579FC8BC" w14:textId="27E4AE36" w:rsidR="006F7FD3" w:rsidRDefault="006F7FD3" w:rsidP="008D6270">
      <w:pPr>
        <w:rPr>
          <w:rFonts w:ascii="Arial" w:hAnsi="Arial" w:cs="Arial"/>
          <w:u w:val="single"/>
        </w:rPr>
      </w:pPr>
    </w:p>
    <w:p w14:paraId="0AFC2643" w14:textId="77777777" w:rsidR="006F7FD3" w:rsidRDefault="006F7FD3" w:rsidP="008D6270">
      <w:pPr>
        <w:rPr>
          <w:rFonts w:ascii="Arial" w:hAnsi="Arial" w:cs="Arial"/>
          <w:u w:val="single"/>
        </w:rPr>
      </w:pPr>
    </w:p>
    <w:p w14:paraId="55A50344" w14:textId="4EEB6EE4" w:rsidR="008D6270" w:rsidRDefault="008D6270" w:rsidP="008D6270">
      <w:pPr>
        <w:rPr>
          <w:rFonts w:ascii="Arial" w:hAnsi="Arial" w:cs="Arial"/>
          <w:u w:val="single"/>
        </w:rPr>
      </w:pPr>
      <w:r>
        <w:rPr>
          <w:rFonts w:ascii="Arial" w:hAnsi="Arial" w:cs="Arial"/>
          <w:u w:val="single"/>
        </w:rPr>
        <w:t>Supporting dementia care</w:t>
      </w:r>
    </w:p>
    <w:p w14:paraId="001A1A72" w14:textId="4BA4D7B5" w:rsidR="0022174E" w:rsidRDefault="002B2D6E" w:rsidP="009252A6">
      <w:pPr>
        <w:rPr>
          <w:rFonts w:ascii="Arial" w:hAnsi="Arial" w:cs="Arial"/>
        </w:rPr>
      </w:pPr>
      <w:r>
        <w:rPr>
          <w:rFonts w:ascii="Arial" w:hAnsi="Arial" w:cs="Arial"/>
        </w:rPr>
        <w:t xml:space="preserve">A key area of focus for podiatrists across the UK is supporting improved dementia care.  Whilst podiatrists support people at all stages of the life cycle, </w:t>
      </w:r>
      <w:r w:rsidR="009D7502">
        <w:rPr>
          <w:rFonts w:ascii="Arial" w:hAnsi="Arial" w:cs="Arial"/>
        </w:rPr>
        <w:t>a large proportion of people seeking podiatr</w:t>
      </w:r>
      <w:r w:rsidR="00430B6C">
        <w:rPr>
          <w:rFonts w:ascii="Arial" w:hAnsi="Arial" w:cs="Arial"/>
        </w:rPr>
        <w:t>ic</w:t>
      </w:r>
      <w:r w:rsidR="009D7502">
        <w:rPr>
          <w:rFonts w:ascii="Arial" w:hAnsi="Arial" w:cs="Arial"/>
        </w:rPr>
        <w:t xml:space="preserve"> intervention</w:t>
      </w:r>
      <w:r w:rsidR="00430B6C">
        <w:rPr>
          <w:rFonts w:ascii="Arial" w:hAnsi="Arial" w:cs="Arial"/>
        </w:rPr>
        <w:t>s</w:t>
      </w:r>
      <w:r w:rsidR="009D7502">
        <w:rPr>
          <w:rFonts w:ascii="Arial" w:hAnsi="Arial" w:cs="Arial"/>
        </w:rPr>
        <w:t xml:space="preserve"> are amongst the older </w:t>
      </w:r>
      <w:r w:rsidR="000C15D4">
        <w:rPr>
          <w:rFonts w:ascii="Arial" w:hAnsi="Arial" w:cs="Arial"/>
        </w:rPr>
        <w:t>population.</w:t>
      </w:r>
    </w:p>
    <w:p w14:paraId="0FCD1F70" w14:textId="03D87767" w:rsidR="009D7502" w:rsidRPr="002B2D6E" w:rsidRDefault="009D7502" w:rsidP="009252A6">
      <w:pPr>
        <w:rPr>
          <w:rFonts w:ascii="Arial" w:hAnsi="Arial" w:cs="Arial"/>
        </w:rPr>
      </w:pPr>
      <w:r>
        <w:rPr>
          <w:rFonts w:ascii="Arial" w:hAnsi="Arial" w:cs="Arial"/>
        </w:rPr>
        <w:t xml:space="preserve">Podiatrists have been proactive in establishing support networks to discuss how </w:t>
      </w:r>
      <w:r w:rsidR="007E772E">
        <w:rPr>
          <w:rFonts w:ascii="Arial" w:hAnsi="Arial" w:cs="Arial"/>
        </w:rPr>
        <w:t xml:space="preserve">they </w:t>
      </w:r>
      <w:r>
        <w:rPr>
          <w:rFonts w:ascii="Arial" w:hAnsi="Arial" w:cs="Arial"/>
        </w:rPr>
        <w:t xml:space="preserve">can </w:t>
      </w:r>
      <w:r w:rsidR="00E70083">
        <w:rPr>
          <w:rFonts w:ascii="Arial" w:hAnsi="Arial" w:cs="Arial"/>
        </w:rPr>
        <w:t>continue innovating</w:t>
      </w:r>
      <w:r>
        <w:rPr>
          <w:rFonts w:ascii="Arial" w:hAnsi="Arial" w:cs="Arial"/>
        </w:rPr>
        <w:t xml:space="preserve"> to improve dementia care.  In Wales, podiatrists work closely with </w:t>
      </w:r>
      <w:r w:rsidR="00430B6C">
        <w:rPr>
          <w:rFonts w:ascii="Arial" w:hAnsi="Arial" w:cs="Arial"/>
        </w:rPr>
        <w:t>t</w:t>
      </w:r>
      <w:r>
        <w:rPr>
          <w:rFonts w:ascii="Arial" w:hAnsi="Arial" w:cs="Arial"/>
        </w:rPr>
        <w:t xml:space="preserve">he </w:t>
      </w:r>
      <w:r w:rsidR="004C6B6E">
        <w:rPr>
          <w:rFonts w:ascii="Arial" w:hAnsi="Arial" w:cs="Arial"/>
        </w:rPr>
        <w:t xml:space="preserve">Royal </w:t>
      </w:r>
      <w:r>
        <w:rPr>
          <w:rFonts w:ascii="Arial" w:hAnsi="Arial" w:cs="Arial"/>
        </w:rPr>
        <w:t>College of Podiatry and Allied Health Professional Dementia Leads in Welsh Government, to ensure that podiatrists are linked into the various AHP dementia strategies.  Support networks have been developed on the ground to ensure that podiatry teams across the country are up to date with CPD including working towards every podiatrist having a ‘skilled’ level of dementia training.  These support networks include all podiatry sectors, including independent practice and Higher Education Institutions who are responsible for developing curricula for podiatry training programmes.</w:t>
      </w:r>
    </w:p>
    <w:p w14:paraId="51184C42" w14:textId="2C325D57" w:rsidR="003C13F5" w:rsidRDefault="003C13F5" w:rsidP="009252A6">
      <w:pPr>
        <w:rPr>
          <w:rFonts w:ascii="Arial" w:hAnsi="Arial" w:cs="Arial"/>
          <w:u w:val="single"/>
        </w:rPr>
      </w:pPr>
    </w:p>
    <w:p w14:paraId="211EC5F8" w14:textId="5AD575EB" w:rsidR="0022174E" w:rsidRDefault="00B710D4" w:rsidP="009252A6">
      <w:pPr>
        <w:rPr>
          <w:rFonts w:ascii="Arial" w:hAnsi="Arial" w:cs="Arial"/>
          <w:b/>
          <w:bCs/>
          <w:u w:val="single"/>
        </w:rPr>
      </w:pPr>
      <w:r>
        <w:rPr>
          <w:rFonts w:ascii="Arial" w:hAnsi="Arial" w:cs="Arial"/>
          <w:b/>
          <w:bCs/>
          <w:u w:val="single"/>
        </w:rPr>
        <w:t>How could podiatrists be supported to deliver enhanced mental health and wellbeing services?</w:t>
      </w:r>
      <w:r w:rsidR="0022174E">
        <w:rPr>
          <w:rFonts w:ascii="Arial" w:hAnsi="Arial" w:cs="Arial"/>
          <w:b/>
          <w:bCs/>
          <w:u w:val="single"/>
        </w:rPr>
        <w:t xml:space="preserve"> </w:t>
      </w:r>
    </w:p>
    <w:p w14:paraId="048BEF0E" w14:textId="6FE1B495" w:rsidR="00343566" w:rsidRPr="00343566" w:rsidRDefault="003C13F5" w:rsidP="00343566">
      <w:pPr>
        <w:rPr>
          <w:rFonts w:ascii="Arial" w:hAnsi="Arial" w:cs="Arial"/>
        </w:rPr>
      </w:pPr>
      <w:r>
        <w:rPr>
          <w:rFonts w:ascii="Arial" w:hAnsi="Arial" w:cs="Arial"/>
        </w:rPr>
        <w:t xml:space="preserve">This paper has discussed how podiatrists are able to support positive mental health and improve the wellbeing </w:t>
      </w:r>
      <w:r w:rsidR="00194531">
        <w:rPr>
          <w:rFonts w:ascii="Arial" w:hAnsi="Arial" w:cs="Arial"/>
        </w:rPr>
        <w:t>of various population groups.</w:t>
      </w:r>
      <w:r w:rsidR="00601403">
        <w:rPr>
          <w:rFonts w:ascii="Arial" w:hAnsi="Arial" w:cs="Arial"/>
        </w:rPr>
        <w:t xml:space="preserve"> However, there are </w:t>
      </w:r>
      <w:proofErr w:type="gramStart"/>
      <w:r w:rsidR="00601403">
        <w:rPr>
          <w:rFonts w:ascii="Arial" w:hAnsi="Arial" w:cs="Arial"/>
        </w:rPr>
        <w:t>a number of</w:t>
      </w:r>
      <w:proofErr w:type="gramEnd"/>
      <w:r w:rsidR="00601403">
        <w:rPr>
          <w:rFonts w:ascii="Arial" w:hAnsi="Arial" w:cs="Arial"/>
        </w:rPr>
        <w:t xml:space="preserve"> areas where podiatrists could be supported to deliver enhanced mental health and wellbeing support to people they interact with on a daily basis. This is perhaps </w:t>
      </w:r>
      <w:r w:rsidR="00601403" w:rsidRPr="00343566">
        <w:rPr>
          <w:rFonts w:ascii="Arial" w:hAnsi="Arial" w:cs="Arial"/>
        </w:rPr>
        <w:t xml:space="preserve">most important when discussing issues around </w:t>
      </w:r>
      <w:r w:rsidR="00284212" w:rsidRPr="00343566">
        <w:rPr>
          <w:rFonts w:ascii="Arial" w:hAnsi="Arial" w:cs="Arial"/>
        </w:rPr>
        <w:t>rehabilitation for patients undergoing amputation.</w:t>
      </w:r>
      <w:r w:rsidR="00343566" w:rsidRPr="00343566">
        <w:rPr>
          <w:rFonts w:ascii="Arial" w:hAnsi="Arial" w:cs="Arial"/>
        </w:rPr>
        <w:t xml:space="preserve"> </w:t>
      </w:r>
    </w:p>
    <w:p w14:paraId="2B261893" w14:textId="40D9A72C" w:rsidR="00B710D4" w:rsidRDefault="009B44EF" w:rsidP="009252A6">
      <w:pPr>
        <w:rPr>
          <w:rFonts w:ascii="Arial" w:hAnsi="Arial" w:cs="Arial"/>
        </w:rPr>
      </w:pPr>
      <w:r>
        <w:rPr>
          <w:rFonts w:ascii="Arial" w:hAnsi="Arial" w:cs="Arial"/>
        </w:rPr>
        <w:t>Five</w:t>
      </w:r>
      <w:r w:rsidR="007608DB">
        <w:rPr>
          <w:rFonts w:ascii="Arial" w:hAnsi="Arial" w:cs="Arial"/>
        </w:rPr>
        <w:t>-</w:t>
      </w:r>
      <w:r>
        <w:rPr>
          <w:rFonts w:ascii="Arial" w:hAnsi="Arial" w:cs="Arial"/>
        </w:rPr>
        <w:t>year mortality after</w:t>
      </w:r>
      <w:r w:rsidR="007608DB">
        <w:rPr>
          <w:rFonts w:ascii="Arial" w:hAnsi="Arial" w:cs="Arial"/>
        </w:rPr>
        <w:t xml:space="preserve"> a</w:t>
      </w:r>
      <w:r>
        <w:rPr>
          <w:rFonts w:ascii="Arial" w:hAnsi="Arial" w:cs="Arial"/>
        </w:rPr>
        <w:t xml:space="preserve"> </w:t>
      </w:r>
      <w:proofErr w:type="gramStart"/>
      <w:r>
        <w:rPr>
          <w:rFonts w:ascii="Arial" w:hAnsi="Arial" w:cs="Arial"/>
        </w:rPr>
        <w:t>major amputation ranges</w:t>
      </w:r>
      <w:proofErr w:type="gramEnd"/>
      <w:r>
        <w:rPr>
          <w:rFonts w:ascii="Arial" w:hAnsi="Arial" w:cs="Arial"/>
        </w:rPr>
        <w:t xml:space="preserve"> from 52% to 80%</w:t>
      </w:r>
      <w:r w:rsidR="007608DB">
        <w:rPr>
          <w:rFonts w:ascii="Arial" w:hAnsi="Arial" w:cs="Arial"/>
        </w:rPr>
        <w:t>.</w:t>
      </w:r>
      <w:r>
        <w:rPr>
          <w:rStyle w:val="FootnoteReference"/>
          <w:rFonts w:ascii="Arial" w:hAnsi="Arial" w:cs="Arial"/>
        </w:rPr>
        <w:footnoteReference w:id="12"/>
      </w:r>
      <w:r>
        <w:rPr>
          <w:rFonts w:ascii="Arial" w:hAnsi="Arial" w:cs="Arial"/>
        </w:rPr>
        <w:t xml:space="preserve"> </w:t>
      </w:r>
      <w:r w:rsidR="007608DB">
        <w:rPr>
          <w:rFonts w:ascii="Arial" w:hAnsi="Arial" w:cs="Arial"/>
        </w:rPr>
        <w:t>Furthermore, quality of life after amputation is severely reduced,</w:t>
      </w:r>
      <w:r w:rsidR="00B86CFA">
        <w:rPr>
          <w:rFonts w:ascii="Arial" w:hAnsi="Arial" w:cs="Arial"/>
        </w:rPr>
        <w:t xml:space="preserve"> especially for living in areas of greatest socio-economic deprivation,</w:t>
      </w:r>
      <w:r w:rsidR="007608DB">
        <w:rPr>
          <w:rFonts w:ascii="Arial" w:hAnsi="Arial" w:cs="Arial"/>
        </w:rPr>
        <w:t xml:space="preserve"> with </w:t>
      </w:r>
      <w:r w:rsidR="00E70083">
        <w:rPr>
          <w:rFonts w:ascii="Arial" w:hAnsi="Arial" w:cs="Arial"/>
        </w:rPr>
        <w:t xml:space="preserve">increased </w:t>
      </w:r>
      <w:r w:rsidR="007608DB">
        <w:rPr>
          <w:rFonts w:ascii="Arial" w:hAnsi="Arial" w:cs="Arial"/>
        </w:rPr>
        <w:t>social isolation due to reduced mobility common.</w:t>
      </w:r>
      <w:r w:rsidR="006F7FD3">
        <w:rPr>
          <w:rStyle w:val="FootnoteReference"/>
          <w:rFonts w:ascii="Arial" w:hAnsi="Arial" w:cs="Arial"/>
        </w:rPr>
        <w:footnoteReference w:id="13"/>
      </w:r>
    </w:p>
    <w:p w14:paraId="0CDD25E6" w14:textId="571DFC83" w:rsidR="001D58FF" w:rsidRPr="00AE3585" w:rsidRDefault="001D58FF" w:rsidP="009252A6">
      <w:pPr>
        <w:rPr>
          <w:rFonts w:ascii="Arial" w:hAnsi="Arial" w:cs="Arial"/>
        </w:rPr>
      </w:pPr>
      <w:r>
        <w:rPr>
          <w:rFonts w:ascii="Arial" w:hAnsi="Arial" w:cs="Arial"/>
        </w:rPr>
        <w:t xml:space="preserve">It would be a positive step if podiatrists were able to link up with clinical psychology teams on the ground, both to access educational learning opportunities to support the above activity, </w:t>
      </w:r>
      <w:proofErr w:type="gramStart"/>
      <w:r>
        <w:rPr>
          <w:rFonts w:ascii="Arial" w:hAnsi="Arial" w:cs="Arial"/>
        </w:rPr>
        <w:t>and also</w:t>
      </w:r>
      <w:proofErr w:type="gramEnd"/>
      <w:r>
        <w:rPr>
          <w:rFonts w:ascii="Arial" w:hAnsi="Arial" w:cs="Arial"/>
        </w:rPr>
        <w:t xml:space="preserve"> to establish signposting and referral mechanisms for patients, particularly those undergoing life changing operations, who would benefit from their services.</w:t>
      </w:r>
      <w:r w:rsidR="004B4FF4">
        <w:rPr>
          <w:rFonts w:ascii="Arial" w:hAnsi="Arial" w:cs="Arial"/>
        </w:rPr>
        <w:t xml:space="preserve">  NICE guidance on management of the diabetic foot recommends that a psychologist is part of the multidisciplinary foot team.</w:t>
      </w:r>
      <w:r w:rsidR="004B4FF4">
        <w:rPr>
          <w:rStyle w:val="FootnoteReference"/>
          <w:rFonts w:ascii="Arial" w:hAnsi="Arial" w:cs="Arial"/>
        </w:rPr>
        <w:footnoteReference w:id="14"/>
      </w:r>
    </w:p>
    <w:p w14:paraId="5420EE99" w14:textId="0E6E4178" w:rsidR="004321FF" w:rsidRDefault="004321FF" w:rsidP="009252A6">
      <w:pPr>
        <w:rPr>
          <w:rFonts w:ascii="Arial" w:hAnsi="Arial" w:cs="Arial"/>
          <w:u w:val="single"/>
        </w:rPr>
      </w:pPr>
    </w:p>
    <w:p w14:paraId="4029D8C4" w14:textId="75430103" w:rsidR="004321FF" w:rsidRPr="005508EA" w:rsidRDefault="004321FF" w:rsidP="004321FF">
      <w:pPr>
        <w:rPr>
          <w:rFonts w:ascii="Arial" w:hAnsi="Arial" w:cs="Arial"/>
          <w:b/>
          <w:bCs/>
          <w:u w:val="single"/>
        </w:rPr>
      </w:pPr>
      <w:r>
        <w:rPr>
          <w:rFonts w:ascii="Arial" w:hAnsi="Arial" w:cs="Arial"/>
          <w:b/>
          <w:bCs/>
          <w:u w:val="single"/>
        </w:rPr>
        <w:t>Conclusion</w:t>
      </w:r>
    </w:p>
    <w:p w14:paraId="1B6A6C46" w14:textId="547AC799" w:rsidR="004321FF" w:rsidRDefault="001D58FF" w:rsidP="004321FF">
      <w:pPr>
        <w:rPr>
          <w:rFonts w:ascii="Arial" w:hAnsi="Arial" w:cs="Arial"/>
        </w:rPr>
      </w:pPr>
      <w:r>
        <w:rPr>
          <w:rFonts w:ascii="Arial" w:hAnsi="Arial" w:cs="Arial"/>
        </w:rPr>
        <w:lastRenderedPageBreak/>
        <w:t xml:space="preserve">This paper has outlined the depth and </w:t>
      </w:r>
      <w:proofErr w:type="spellStart"/>
      <w:r>
        <w:rPr>
          <w:rFonts w:ascii="Arial" w:hAnsi="Arial" w:cs="Arial"/>
        </w:rPr>
        <w:t>breath</w:t>
      </w:r>
      <w:proofErr w:type="spellEnd"/>
      <w:r>
        <w:rPr>
          <w:rFonts w:ascii="Arial" w:hAnsi="Arial" w:cs="Arial"/>
        </w:rPr>
        <w:t xml:space="preserve"> of mental health and wellbeing support which the podiatry profession offers.  Whilst some podiatry activity is funded directly from the NHS mental health budget, </w:t>
      </w:r>
      <w:proofErr w:type="gramStart"/>
      <w:r>
        <w:rPr>
          <w:rFonts w:ascii="Arial" w:hAnsi="Arial" w:cs="Arial"/>
        </w:rPr>
        <w:t>the vast majority of</w:t>
      </w:r>
      <w:proofErr w:type="gramEnd"/>
      <w:r>
        <w:rPr>
          <w:rFonts w:ascii="Arial" w:hAnsi="Arial" w:cs="Arial"/>
        </w:rPr>
        <w:t xml:space="preserve"> these activities are funded directly from the podiatry budget.</w:t>
      </w:r>
    </w:p>
    <w:p w14:paraId="05480F0E" w14:textId="51C75F39" w:rsidR="001D58FF" w:rsidRDefault="001D58FF" w:rsidP="004321FF">
      <w:pPr>
        <w:rPr>
          <w:rFonts w:ascii="Arial" w:hAnsi="Arial" w:cs="Arial"/>
        </w:rPr>
      </w:pPr>
      <w:r>
        <w:rPr>
          <w:rFonts w:ascii="Arial" w:hAnsi="Arial" w:cs="Arial"/>
        </w:rPr>
        <w:t xml:space="preserve">There are </w:t>
      </w:r>
      <w:proofErr w:type="gramStart"/>
      <w:r>
        <w:rPr>
          <w:rFonts w:ascii="Arial" w:hAnsi="Arial" w:cs="Arial"/>
        </w:rPr>
        <w:t>particular areas</w:t>
      </w:r>
      <w:proofErr w:type="gramEnd"/>
      <w:r>
        <w:rPr>
          <w:rFonts w:ascii="Arial" w:hAnsi="Arial" w:cs="Arial"/>
        </w:rPr>
        <w:t xml:space="preserve"> that podiatry has a really good opportunity to support improved mental health and wellbeing, including keeping people healthy mobile and active, which can reduce social isolation and keep people in work.  There are also opportunities to support people to recover from acute MSK injuries which support people to continue sport and exercise.  This is especially key for children as it encourages them to grow into healthy adults.  The paper also touched on the role of podiatrists in encouraging people to access smoking cessation and exercise support programmes, which improves overall health and wellbeing.</w:t>
      </w:r>
    </w:p>
    <w:p w14:paraId="689CE3F3" w14:textId="7261CBE3" w:rsidR="001D58FF" w:rsidRDefault="001D58FF" w:rsidP="004321FF">
      <w:pPr>
        <w:rPr>
          <w:rFonts w:ascii="Arial" w:hAnsi="Arial" w:cs="Arial"/>
        </w:rPr>
      </w:pPr>
      <w:r>
        <w:rPr>
          <w:rFonts w:ascii="Arial" w:hAnsi="Arial" w:cs="Arial"/>
        </w:rPr>
        <w:t>There are some areas where podiatrists would benefit from more training to support improved mental health and wellbeing, including in providing psychological support to patients who are about to undergo life changing surgery, for example, major amputations.  This could be through delivering training for podiatrists to undertake in their own practice</w:t>
      </w:r>
      <w:r w:rsidR="00343566">
        <w:rPr>
          <w:rFonts w:ascii="Arial" w:hAnsi="Arial" w:cs="Arial"/>
        </w:rPr>
        <w:t xml:space="preserve"> </w:t>
      </w:r>
      <w:r>
        <w:rPr>
          <w:rFonts w:ascii="Arial" w:hAnsi="Arial" w:cs="Arial"/>
        </w:rPr>
        <w:t>or providing referral and signpost mechanisms so that podiatry patients can access clinical psychology support when this is required.</w:t>
      </w:r>
    </w:p>
    <w:p w14:paraId="3C291A20" w14:textId="77777777" w:rsidR="001D58FF" w:rsidRDefault="001D58FF" w:rsidP="009252A6">
      <w:pPr>
        <w:rPr>
          <w:rFonts w:ascii="Arial" w:hAnsi="Arial" w:cs="Arial"/>
          <w:b/>
          <w:bCs/>
          <w:u w:val="single"/>
        </w:rPr>
      </w:pPr>
    </w:p>
    <w:p w14:paraId="36D262EC" w14:textId="5EB1E05A" w:rsidR="004321FF" w:rsidRDefault="004321FF" w:rsidP="009252A6">
      <w:pPr>
        <w:rPr>
          <w:rFonts w:ascii="Arial" w:hAnsi="Arial" w:cs="Arial"/>
          <w:b/>
          <w:bCs/>
          <w:u w:val="single"/>
        </w:rPr>
      </w:pPr>
      <w:r>
        <w:rPr>
          <w:rFonts w:ascii="Arial" w:hAnsi="Arial" w:cs="Arial"/>
          <w:b/>
          <w:bCs/>
          <w:u w:val="single"/>
        </w:rPr>
        <w:t>Contac</w:t>
      </w:r>
      <w:r w:rsidR="001D58FF">
        <w:rPr>
          <w:rFonts w:ascii="Arial" w:hAnsi="Arial" w:cs="Arial"/>
          <w:b/>
          <w:bCs/>
          <w:u w:val="single"/>
        </w:rPr>
        <w:t>t</w:t>
      </w:r>
    </w:p>
    <w:p w14:paraId="3C23A40B" w14:textId="5CE67951" w:rsidR="004321FF" w:rsidRDefault="004321FF" w:rsidP="009252A6">
      <w:pPr>
        <w:rPr>
          <w:rFonts w:ascii="Arial" w:hAnsi="Arial" w:cs="Arial"/>
        </w:rPr>
      </w:pPr>
      <w:r>
        <w:rPr>
          <w:rFonts w:ascii="Arial" w:hAnsi="Arial" w:cs="Arial"/>
        </w:rPr>
        <w:t xml:space="preserve">For more information on the above, </w:t>
      </w:r>
      <w:r w:rsidRPr="00C10428">
        <w:rPr>
          <w:rFonts w:ascii="Arial" w:hAnsi="Arial" w:cs="Arial"/>
        </w:rPr>
        <w:t xml:space="preserve">please contact </w:t>
      </w:r>
      <w:r w:rsidR="000A65AA" w:rsidRPr="00C10428">
        <w:rPr>
          <w:rFonts w:ascii="Arial" w:hAnsi="Arial" w:cs="Arial"/>
        </w:rPr>
        <w:t>Lawrence Ambrose</w:t>
      </w:r>
      <w:r w:rsidRPr="00C10428">
        <w:rPr>
          <w:rFonts w:ascii="Arial" w:hAnsi="Arial" w:cs="Arial"/>
        </w:rPr>
        <w:t xml:space="preserve">, </w:t>
      </w:r>
      <w:r w:rsidR="00C10428" w:rsidRPr="00C10428">
        <w:rPr>
          <w:rFonts w:ascii="Arial" w:hAnsi="Arial" w:cs="Arial"/>
        </w:rPr>
        <w:t xml:space="preserve">Head of </w:t>
      </w:r>
      <w:r w:rsidRPr="00C10428">
        <w:rPr>
          <w:rFonts w:ascii="Arial" w:hAnsi="Arial" w:cs="Arial"/>
        </w:rPr>
        <w:t xml:space="preserve">Policy and Public Affairs, The </w:t>
      </w:r>
      <w:r w:rsidR="00C10428" w:rsidRPr="00C10428">
        <w:rPr>
          <w:rFonts w:ascii="Arial" w:hAnsi="Arial" w:cs="Arial"/>
        </w:rPr>
        <w:t xml:space="preserve">Royal </w:t>
      </w:r>
      <w:r w:rsidRPr="00C10428">
        <w:rPr>
          <w:rFonts w:ascii="Arial" w:hAnsi="Arial" w:cs="Arial"/>
        </w:rPr>
        <w:t xml:space="preserve">College of Podiatry: </w:t>
      </w:r>
      <w:hyperlink r:id="rId12" w:history="1">
        <w:r w:rsidR="00C10428" w:rsidRPr="00C221DA">
          <w:rPr>
            <w:rStyle w:val="Hyperlink"/>
            <w:rFonts w:ascii="Arial" w:eastAsia="Times New Roman" w:hAnsi="Arial" w:cs="Arial"/>
            <w:lang w:eastAsia="en-GB"/>
          </w:rPr>
          <w:t>lawrence.ambrose@rcpod.org.uk</w:t>
        </w:r>
      </w:hyperlink>
      <w:r w:rsidR="00C10428">
        <w:rPr>
          <w:rFonts w:ascii="Arial" w:eastAsia="Times New Roman" w:hAnsi="Arial" w:cs="Arial"/>
          <w:lang w:eastAsia="en-GB"/>
        </w:rPr>
        <w:t xml:space="preserve"> </w:t>
      </w:r>
    </w:p>
    <w:p w14:paraId="680542EF" w14:textId="7F04531F" w:rsidR="004321FF" w:rsidRPr="004321FF" w:rsidRDefault="004321FF" w:rsidP="009252A6">
      <w:pPr>
        <w:rPr>
          <w:rFonts w:ascii="Arial" w:hAnsi="Arial" w:cs="Arial"/>
        </w:rPr>
      </w:pPr>
    </w:p>
    <w:sectPr w:rsidR="004321FF" w:rsidRPr="004321F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661A" w14:textId="77777777" w:rsidR="009805EE" w:rsidRDefault="009805EE" w:rsidP="00890A82">
      <w:pPr>
        <w:spacing w:after="0" w:line="240" w:lineRule="auto"/>
      </w:pPr>
      <w:r>
        <w:separator/>
      </w:r>
    </w:p>
  </w:endnote>
  <w:endnote w:type="continuationSeparator" w:id="0">
    <w:p w14:paraId="03F9AD6B" w14:textId="77777777" w:rsidR="009805EE" w:rsidRDefault="009805EE" w:rsidP="0089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1D8E" w14:textId="77777777" w:rsidR="009805EE" w:rsidRDefault="009805EE" w:rsidP="00890A82">
      <w:pPr>
        <w:spacing w:after="0" w:line="240" w:lineRule="auto"/>
      </w:pPr>
      <w:r>
        <w:separator/>
      </w:r>
    </w:p>
  </w:footnote>
  <w:footnote w:type="continuationSeparator" w:id="0">
    <w:p w14:paraId="0FB2730C" w14:textId="77777777" w:rsidR="009805EE" w:rsidRDefault="009805EE" w:rsidP="00890A82">
      <w:pPr>
        <w:spacing w:after="0" w:line="240" w:lineRule="auto"/>
      </w:pPr>
      <w:r>
        <w:continuationSeparator/>
      </w:r>
    </w:p>
  </w:footnote>
  <w:footnote w:id="1">
    <w:p w14:paraId="5E0948E4" w14:textId="4AA1BCCB" w:rsidR="005508EA" w:rsidRPr="005508EA" w:rsidRDefault="005508EA">
      <w:pPr>
        <w:pStyle w:val="FootnoteText"/>
        <w:rPr>
          <w:lang w:val="en-GB"/>
        </w:rPr>
      </w:pPr>
      <w:r>
        <w:rPr>
          <w:rStyle w:val="FootnoteReference"/>
        </w:rPr>
        <w:footnoteRef/>
      </w:r>
      <w:r>
        <w:t xml:space="preserve"> </w:t>
      </w:r>
      <w:hyperlink r:id="rId1" w:history="1">
        <w:r w:rsidRPr="002C00DC">
          <w:rPr>
            <w:rStyle w:val="Hyperlink"/>
          </w:rPr>
          <w:t>https://www.kingsfund.org.uk/publications/articles/big-election-questions-parity-mental-physical-health</w:t>
        </w:r>
      </w:hyperlink>
      <w:r>
        <w:t>, Viewed on 25/05/2021</w:t>
      </w:r>
    </w:p>
  </w:footnote>
  <w:footnote w:id="2">
    <w:p w14:paraId="4F125A54" w14:textId="5DBEDB99" w:rsidR="005508EA" w:rsidRPr="005508EA" w:rsidRDefault="005508EA">
      <w:pPr>
        <w:pStyle w:val="FootnoteText"/>
        <w:rPr>
          <w:lang w:val="en-GB"/>
        </w:rPr>
      </w:pPr>
      <w:r>
        <w:rPr>
          <w:rStyle w:val="FootnoteReference"/>
        </w:rPr>
        <w:footnoteRef/>
      </w:r>
      <w:r>
        <w:t xml:space="preserve"> </w:t>
      </w:r>
      <w:hyperlink r:id="rId2" w:history="1">
        <w:r w:rsidRPr="002C00DC">
          <w:rPr>
            <w:rStyle w:val="Hyperlink"/>
          </w:rPr>
          <w:t>https://www.gov.scot/publications/mental-health-strategy-2017-2027/pages/3/</w:t>
        </w:r>
      </w:hyperlink>
      <w:r>
        <w:t>, Viewed on 25/05/2021</w:t>
      </w:r>
    </w:p>
  </w:footnote>
  <w:footnote w:id="3">
    <w:p w14:paraId="2BEAC381" w14:textId="2F71F841" w:rsidR="00394120" w:rsidRPr="004D02AF" w:rsidRDefault="00394120" w:rsidP="004D02AF">
      <w:pPr>
        <w:pStyle w:val="pf0"/>
        <w:rPr>
          <w:rFonts w:ascii="Arial" w:hAnsi="Arial" w:cs="Arial"/>
          <w:sz w:val="20"/>
          <w:szCs w:val="20"/>
        </w:rPr>
      </w:pPr>
      <w:r>
        <w:rPr>
          <w:rStyle w:val="FootnoteReference"/>
        </w:rPr>
        <w:footnoteRef/>
      </w:r>
      <w:r>
        <w:t xml:space="preserve"> </w:t>
      </w:r>
      <w:r>
        <w:rPr>
          <w:rStyle w:val="cf01"/>
        </w:rPr>
        <w:t>The standards of proficiency for chiropodists / podiatrists. 2018. Health Care Professions Council</w:t>
      </w:r>
      <w:r>
        <w:rPr>
          <w:rFonts w:ascii="Arial" w:hAnsi="Arial" w:cs="Arial"/>
          <w:sz w:val="20"/>
          <w:szCs w:val="20"/>
        </w:rPr>
        <w:t xml:space="preserve">, </w:t>
      </w:r>
      <w:hyperlink r:id="rId3" w:history="1">
        <w:r w:rsidRPr="00D145C8">
          <w:rPr>
            <w:rStyle w:val="Hyperlink"/>
            <w:rFonts w:ascii="Segoe UI" w:hAnsi="Segoe UI" w:cs="Segoe UI"/>
            <w:sz w:val="18"/>
            <w:szCs w:val="18"/>
          </w:rPr>
          <w:t>https://www.hcpc-uk.org/standards/standards-of-proficiency/chiropodists-podiatrists/</w:t>
        </w:r>
      </w:hyperlink>
      <w:r>
        <w:rPr>
          <w:rStyle w:val="cf11"/>
          <w:color w:val="0000FF"/>
          <w:u w:val="single"/>
        </w:rPr>
        <w:t>, Viewed on 25/05/2021</w:t>
      </w:r>
    </w:p>
  </w:footnote>
  <w:footnote w:id="4">
    <w:p w14:paraId="638F591C" w14:textId="76D99C24" w:rsidR="001E5195" w:rsidRPr="001E5195" w:rsidRDefault="001E5195">
      <w:pPr>
        <w:pStyle w:val="FootnoteText"/>
        <w:rPr>
          <w:lang w:val="en-GB"/>
        </w:rPr>
      </w:pPr>
      <w:r>
        <w:rPr>
          <w:rStyle w:val="FootnoteReference"/>
        </w:rPr>
        <w:footnoteRef/>
      </w:r>
      <w:hyperlink r:id="rId4" w:anchor=":~:text=The%20human%20cost%20of%20falling,%C2%A32.3%20billion%20per%20year" w:history="1">
        <w:r w:rsidRPr="002C00DC">
          <w:rPr>
            <w:rStyle w:val="Hyperlink"/>
          </w:rPr>
          <w:t>https://www.nice.org.uk/guidance/cg161/chapter/introduction#:~:text=The%20human%20cost%20of%20falling,%C2%A32.3%20billion%20per%20year</w:t>
        </w:r>
      </w:hyperlink>
      <w:r>
        <w:t>, Viewed on 25/0</w:t>
      </w:r>
      <w:r w:rsidR="008542EF">
        <w:t>5</w:t>
      </w:r>
      <w:r>
        <w:t>/2021</w:t>
      </w:r>
    </w:p>
  </w:footnote>
  <w:footnote w:id="5">
    <w:p w14:paraId="3B0A0412" w14:textId="6EE90261" w:rsidR="00DB5FD5" w:rsidRPr="008542EF" w:rsidRDefault="00DB5FD5" w:rsidP="00DB5FD5">
      <w:pPr>
        <w:pStyle w:val="FootnoteText"/>
        <w:rPr>
          <w:lang w:val="en-GB"/>
        </w:rPr>
      </w:pPr>
      <w:r>
        <w:rPr>
          <w:rStyle w:val="FootnoteReference"/>
        </w:rPr>
        <w:footnoteRef/>
      </w:r>
      <w:r>
        <w:t xml:space="preserve"> </w:t>
      </w:r>
      <w:r>
        <w:rPr>
          <w:lang w:val="en-GB"/>
        </w:rPr>
        <w:t xml:space="preserve">The </w:t>
      </w:r>
      <w:r w:rsidR="004C6B6E">
        <w:rPr>
          <w:lang w:val="en-GB"/>
        </w:rPr>
        <w:t xml:space="preserve">Royal </w:t>
      </w:r>
      <w:r>
        <w:rPr>
          <w:lang w:val="en-GB"/>
        </w:rPr>
        <w:t xml:space="preserve">College of Podiatry, </w:t>
      </w:r>
      <w:r>
        <w:rPr>
          <w:i/>
          <w:iCs/>
          <w:lang w:val="en-GB"/>
        </w:rPr>
        <w:t>Podiatry’s role in keeping children with MSK pain active</w:t>
      </w:r>
      <w:r>
        <w:rPr>
          <w:lang w:val="en-GB"/>
        </w:rPr>
        <w:t xml:space="preserve">, </w:t>
      </w:r>
      <w:hyperlink r:id="rId5" w:history="1">
        <w:r w:rsidRPr="002C00DC">
          <w:rPr>
            <w:rStyle w:val="Hyperlink"/>
            <w:lang w:val="en-GB"/>
          </w:rPr>
          <w:t>https://cop.org.uk/the-college/policy-positions</w:t>
        </w:r>
      </w:hyperlink>
      <w:r>
        <w:rPr>
          <w:lang w:val="en-GB"/>
        </w:rPr>
        <w:t>, Viewed on 25/05/2021</w:t>
      </w:r>
    </w:p>
  </w:footnote>
  <w:footnote w:id="6">
    <w:p w14:paraId="641A6D19" w14:textId="527FF6C0" w:rsidR="008E53C6" w:rsidRPr="008E53C6" w:rsidRDefault="008E53C6">
      <w:pPr>
        <w:pStyle w:val="FootnoteText"/>
        <w:rPr>
          <w:lang w:val="en-GB"/>
        </w:rPr>
      </w:pPr>
      <w:r>
        <w:rPr>
          <w:rStyle w:val="FootnoteReference"/>
        </w:rPr>
        <w:footnoteRef/>
      </w:r>
      <w:r>
        <w:t xml:space="preserve"> The</w:t>
      </w:r>
      <w:r w:rsidR="004C6B6E">
        <w:t xml:space="preserve"> Royal</w:t>
      </w:r>
      <w:r>
        <w:t xml:space="preserve"> College of Podiatry (2019), Evidence submitted to Scottish Parliament Health and Sport Committee Inquiry into Social Prescribing of Physical Activity and Sport, Available here: </w:t>
      </w:r>
      <w:hyperlink r:id="rId6" w:history="1">
        <w:r w:rsidRPr="002C00DC">
          <w:rPr>
            <w:rStyle w:val="Hyperlink"/>
          </w:rPr>
          <w:t>https://archive2021.parliament.scot/parliamentarybusiness/CurrentCommittees/112415.aspx</w:t>
        </w:r>
      </w:hyperlink>
      <w:r>
        <w:t xml:space="preserve"> </w:t>
      </w:r>
    </w:p>
  </w:footnote>
  <w:footnote w:id="7">
    <w:p w14:paraId="7DBDCD30" w14:textId="41B2B78E" w:rsidR="008E53C6" w:rsidRPr="008E53C6" w:rsidRDefault="008E53C6">
      <w:pPr>
        <w:pStyle w:val="FootnoteText"/>
        <w:rPr>
          <w:lang w:val="en-GB"/>
        </w:rPr>
      </w:pPr>
      <w:r>
        <w:rPr>
          <w:rStyle w:val="FootnoteReference"/>
        </w:rPr>
        <w:footnoteRef/>
      </w:r>
      <w:r>
        <w:t xml:space="preserve"> IBID</w:t>
      </w:r>
    </w:p>
  </w:footnote>
  <w:footnote w:id="8">
    <w:p w14:paraId="0C60991F" w14:textId="6C12E61A" w:rsidR="008E53C6" w:rsidRPr="008E53C6" w:rsidRDefault="008E53C6">
      <w:pPr>
        <w:pStyle w:val="FootnoteText"/>
        <w:rPr>
          <w:lang w:val="en-GB"/>
        </w:rPr>
      </w:pPr>
      <w:r>
        <w:rPr>
          <w:rStyle w:val="FootnoteReference"/>
        </w:rPr>
        <w:footnoteRef/>
      </w:r>
      <w:r>
        <w:t xml:space="preserve"> IBID</w:t>
      </w:r>
    </w:p>
  </w:footnote>
  <w:footnote w:id="9">
    <w:p w14:paraId="1EB200A5" w14:textId="4EF76DAC" w:rsidR="00687946" w:rsidRPr="00687946" w:rsidRDefault="00687946" w:rsidP="00687946">
      <w:pPr>
        <w:pStyle w:val="FootnoteText"/>
        <w:rPr>
          <w:i/>
          <w:iCs/>
          <w:lang w:val="en-GB"/>
        </w:rPr>
      </w:pPr>
      <w:r>
        <w:rPr>
          <w:rStyle w:val="FootnoteReference"/>
        </w:rPr>
        <w:footnoteRef/>
      </w:r>
      <w:r>
        <w:t xml:space="preserve"> </w:t>
      </w:r>
      <w:r w:rsidR="009517B3">
        <w:t xml:space="preserve">Conversation with </w:t>
      </w:r>
      <w:r>
        <w:rPr>
          <w:lang w:val="en-GB"/>
        </w:rPr>
        <w:t xml:space="preserve">Liz Oakley, (NHS Tayside) </w:t>
      </w:r>
      <w:r w:rsidR="009517B3">
        <w:rPr>
          <w:lang w:val="en-GB"/>
        </w:rPr>
        <w:t xml:space="preserve">re </w:t>
      </w:r>
      <w:r w:rsidRPr="009517B3">
        <w:rPr>
          <w:lang w:val="en-GB"/>
        </w:rPr>
        <w:t>Podiatry: Understanding Mental Health</w:t>
      </w:r>
    </w:p>
  </w:footnote>
  <w:footnote w:id="10">
    <w:p w14:paraId="082108D5" w14:textId="77777777" w:rsidR="001F43D9" w:rsidRDefault="001F43D9" w:rsidP="001F43D9">
      <w:pPr>
        <w:pStyle w:val="FootnoteText"/>
      </w:pPr>
      <w:r>
        <w:rPr>
          <w:rStyle w:val="FootnoteReference"/>
        </w:rPr>
        <w:footnoteRef/>
      </w:r>
      <w:r>
        <w:t xml:space="preserve"> Available at: </w:t>
      </w:r>
      <w:hyperlink r:id="rId7" w:history="1">
        <w:r w:rsidRPr="0075078A">
          <w:rPr>
            <w:rStyle w:val="Hyperlink"/>
          </w:rPr>
          <w:t>https://www.gov.scot/binaries/content/documents/govscot/publications/strategy-plan/2006/12/delivering-mental-health/documents/0042281-pdf/0042281-pdf/govscot%3Adocument/0042281.pdf</w:t>
        </w:r>
      </w:hyperlink>
      <w:r>
        <w:t xml:space="preserve"> Viewed on 25/05/2021</w:t>
      </w:r>
    </w:p>
  </w:footnote>
  <w:footnote w:id="11">
    <w:p w14:paraId="2AD41564" w14:textId="63C6FEE9" w:rsidR="00102227" w:rsidRDefault="00102227">
      <w:pPr>
        <w:pStyle w:val="FootnoteText"/>
      </w:pPr>
      <w:r>
        <w:rPr>
          <w:rStyle w:val="FootnoteReference"/>
        </w:rPr>
        <w:footnoteRef/>
      </w:r>
      <w:r>
        <w:t xml:space="preserve"> </w:t>
      </w:r>
      <w:r w:rsidR="001F43D9">
        <w:t>IBID</w:t>
      </w:r>
    </w:p>
  </w:footnote>
  <w:footnote w:id="12">
    <w:p w14:paraId="11B145C1" w14:textId="4BD37CB4" w:rsidR="009B44EF" w:rsidRDefault="009B44EF">
      <w:pPr>
        <w:pStyle w:val="FootnoteText"/>
      </w:pPr>
      <w:r>
        <w:rPr>
          <w:rStyle w:val="FootnoteReference"/>
        </w:rPr>
        <w:footnoteRef/>
      </w:r>
      <w:r>
        <w:t xml:space="preserve"> </w:t>
      </w:r>
      <w:hyperlink r:id="rId8" w:history="1">
        <w:r w:rsidRPr="004447B3">
          <w:rPr>
            <w:rStyle w:val="Hyperlink"/>
          </w:rPr>
          <w:t>https://www.podiatrytoday.com/closer-look-mortality-after-lower-extremity-amputation</w:t>
        </w:r>
      </w:hyperlink>
      <w:r>
        <w:t>, Viewed on 25/05/2021</w:t>
      </w:r>
    </w:p>
  </w:footnote>
  <w:footnote w:id="13">
    <w:p w14:paraId="255B6C97" w14:textId="2AB8B62D" w:rsidR="006F7FD3" w:rsidRDefault="006F7FD3">
      <w:pPr>
        <w:pStyle w:val="FootnoteText"/>
      </w:pPr>
      <w:r>
        <w:rPr>
          <w:rStyle w:val="FootnoteReference"/>
        </w:rPr>
        <w:footnoteRef/>
      </w:r>
      <w:r>
        <w:t xml:space="preserve"> </w:t>
      </w:r>
      <w:hyperlink r:id="rId9" w:history="1">
        <w:r w:rsidR="00B86CFA" w:rsidRPr="0096355D">
          <w:rPr>
            <w:rStyle w:val="Hyperlink"/>
          </w:rPr>
          <w:t>https://www.ejves.com/article/S1078-5884(18)30760-3/fulltext</w:t>
        </w:r>
      </w:hyperlink>
      <w:r w:rsidR="00B86CFA">
        <w:t>, Viewed on 27/05/2021</w:t>
      </w:r>
    </w:p>
  </w:footnote>
  <w:footnote w:id="14">
    <w:p w14:paraId="346D0DCC" w14:textId="2ACAA152" w:rsidR="004B4FF4" w:rsidRDefault="004B4FF4">
      <w:pPr>
        <w:pStyle w:val="FootnoteText"/>
      </w:pPr>
      <w:r>
        <w:rPr>
          <w:rStyle w:val="FootnoteReference"/>
        </w:rPr>
        <w:footnoteRef/>
      </w:r>
      <w:r>
        <w:t xml:space="preserve"> </w:t>
      </w:r>
      <w:hyperlink r:id="rId10" w:history="1">
        <w:r w:rsidRPr="0096355D">
          <w:rPr>
            <w:rStyle w:val="Hyperlink"/>
          </w:rPr>
          <w:t>https://www.nice.org.uk/guidance/ng19</w:t>
        </w:r>
      </w:hyperlink>
      <w:r>
        <w:t>, Viewed on 27/05/2021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B8C"/>
    <w:multiLevelType w:val="multilevel"/>
    <w:tmpl w:val="713EB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1501348"/>
    <w:multiLevelType w:val="hybridMultilevel"/>
    <w:tmpl w:val="5FE6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24873"/>
    <w:multiLevelType w:val="hybridMultilevel"/>
    <w:tmpl w:val="488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A0768"/>
    <w:multiLevelType w:val="multilevel"/>
    <w:tmpl w:val="9CB2D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40364"/>
    <w:multiLevelType w:val="multilevel"/>
    <w:tmpl w:val="713EB5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CF853B8"/>
    <w:multiLevelType w:val="hybridMultilevel"/>
    <w:tmpl w:val="0B74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60282"/>
    <w:multiLevelType w:val="hybridMultilevel"/>
    <w:tmpl w:val="7324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26E4C"/>
    <w:multiLevelType w:val="hybridMultilevel"/>
    <w:tmpl w:val="3BC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26C9E"/>
    <w:multiLevelType w:val="multilevel"/>
    <w:tmpl w:val="713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5"/>
  </w:num>
  <w:num w:numId="4">
    <w:abstractNumId w:val="6"/>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21"/>
    <w:rsid w:val="00016C78"/>
    <w:rsid w:val="000242E4"/>
    <w:rsid w:val="00027634"/>
    <w:rsid w:val="00041628"/>
    <w:rsid w:val="00052529"/>
    <w:rsid w:val="0006233D"/>
    <w:rsid w:val="000678DD"/>
    <w:rsid w:val="00080F93"/>
    <w:rsid w:val="000831D0"/>
    <w:rsid w:val="00084BFC"/>
    <w:rsid w:val="00094281"/>
    <w:rsid w:val="00097507"/>
    <w:rsid w:val="000A65AA"/>
    <w:rsid w:val="000B4739"/>
    <w:rsid w:val="000C15D4"/>
    <w:rsid w:val="000C3630"/>
    <w:rsid w:val="000D3F66"/>
    <w:rsid w:val="000E5AB6"/>
    <w:rsid w:val="000F16DE"/>
    <w:rsid w:val="000F3CC5"/>
    <w:rsid w:val="00100F54"/>
    <w:rsid w:val="00102227"/>
    <w:rsid w:val="00103DD8"/>
    <w:rsid w:val="00132BB7"/>
    <w:rsid w:val="00132C05"/>
    <w:rsid w:val="0014750F"/>
    <w:rsid w:val="0015239D"/>
    <w:rsid w:val="00152602"/>
    <w:rsid w:val="00160F43"/>
    <w:rsid w:val="001705DC"/>
    <w:rsid w:val="001740DD"/>
    <w:rsid w:val="00191161"/>
    <w:rsid w:val="00194531"/>
    <w:rsid w:val="001C2296"/>
    <w:rsid w:val="001D16C3"/>
    <w:rsid w:val="001D56E9"/>
    <w:rsid w:val="001D58FF"/>
    <w:rsid w:val="001D5ED1"/>
    <w:rsid w:val="001D6F78"/>
    <w:rsid w:val="001E2C77"/>
    <w:rsid w:val="001E5195"/>
    <w:rsid w:val="001F1098"/>
    <w:rsid w:val="001F43D9"/>
    <w:rsid w:val="001F4B97"/>
    <w:rsid w:val="001F6AE2"/>
    <w:rsid w:val="0022174E"/>
    <w:rsid w:val="00226779"/>
    <w:rsid w:val="00232632"/>
    <w:rsid w:val="00273A11"/>
    <w:rsid w:val="00274E3A"/>
    <w:rsid w:val="002801B8"/>
    <w:rsid w:val="00284212"/>
    <w:rsid w:val="002B2D6E"/>
    <w:rsid w:val="002B63F6"/>
    <w:rsid w:val="002C5B64"/>
    <w:rsid w:val="002C6740"/>
    <w:rsid w:val="002F5845"/>
    <w:rsid w:val="00307ABA"/>
    <w:rsid w:val="00322257"/>
    <w:rsid w:val="00322519"/>
    <w:rsid w:val="00337EDE"/>
    <w:rsid w:val="00341B02"/>
    <w:rsid w:val="00343566"/>
    <w:rsid w:val="0036314A"/>
    <w:rsid w:val="00385156"/>
    <w:rsid w:val="0039146F"/>
    <w:rsid w:val="00394120"/>
    <w:rsid w:val="003B0F1A"/>
    <w:rsid w:val="003C0F5E"/>
    <w:rsid w:val="003C13F5"/>
    <w:rsid w:val="003E61FC"/>
    <w:rsid w:val="00402F0E"/>
    <w:rsid w:val="004302AB"/>
    <w:rsid w:val="00430B6C"/>
    <w:rsid w:val="004321FF"/>
    <w:rsid w:val="004463FF"/>
    <w:rsid w:val="00450703"/>
    <w:rsid w:val="0045625F"/>
    <w:rsid w:val="00457A9E"/>
    <w:rsid w:val="00481268"/>
    <w:rsid w:val="0048365B"/>
    <w:rsid w:val="0048593B"/>
    <w:rsid w:val="00487BE5"/>
    <w:rsid w:val="00493B30"/>
    <w:rsid w:val="004A58C0"/>
    <w:rsid w:val="004B4FF4"/>
    <w:rsid w:val="004B584E"/>
    <w:rsid w:val="004B6F59"/>
    <w:rsid w:val="004C6B6E"/>
    <w:rsid w:val="004D02AF"/>
    <w:rsid w:val="004D26B8"/>
    <w:rsid w:val="004D7E86"/>
    <w:rsid w:val="004E64DE"/>
    <w:rsid w:val="004E7149"/>
    <w:rsid w:val="00513081"/>
    <w:rsid w:val="00516109"/>
    <w:rsid w:val="00525041"/>
    <w:rsid w:val="00543848"/>
    <w:rsid w:val="005508EA"/>
    <w:rsid w:val="0055190A"/>
    <w:rsid w:val="005558F2"/>
    <w:rsid w:val="005601C6"/>
    <w:rsid w:val="005641A2"/>
    <w:rsid w:val="005730FD"/>
    <w:rsid w:val="005A7F84"/>
    <w:rsid w:val="005B1B00"/>
    <w:rsid w:val="005C48DE"/>
    <w:rsid w:val="006001CC"/>
    <w:rsid w:val="00601403"/>
    <w:rsid w:val="006051AA"/>
    <w:rsid w:val="00605680"/>
    <w:rsid w:val="00617F38"/>
    <w:rsid w:val="00631D74"/>
    <w:rsid w:val="00634807"/>
    <w:rsid w:val="00640745"/>
    <w:rsid w:val="006549E8"/>
    <w:rsid w:val="0066300F"/>
    <w:rsid w:val="00670A70"/>
    <w:rsid w:val="00687946"/>
    <w:rsid w:val="00690DCD"/>
    <w:rsid w:val="006B6FD0"/>
    <w:rsid w:val="006C4498"/>
    <w:rsid w:val="006D77FF"/>
    <w:rsid w:val="006F7FD3"/>
    <w:rsid w:val="00713C40"/>
    <w:rsid w:val="00715425"/>
    <w:rsid w:val="0072491A"/>
    <w:rsid w:val="007371F6"/>
    <w:rsid w:val="007608DB"/>
    <w:rsid w:val="007674C5"/>
    <w:rsid w:val="0077644D"/>
    <w:rsid w:val="007806CD"/>
    <w:rsid w:val="00781C59"/>
    <w:rsid w:val="007939D8"/>
    <w:rsid w:val="007943FF"/>
    <w:rsid w:val="007B3261"/>
    <w:rsid w:val="007C77D0"/>
    <w:rsid w:val="007E6FA4"/>
    <w:rsid w:val="007E772E"/>
    <w:rsid w:val="007F01CD"/>
    <w:rsid w:val="007F116D"/>
    <w:rsid w:val="00806670"/>
    <w:rsid w:val="0080758F"/>
    <w:rsid w:val="00812DFF"/>
    <w:rsid w:val="00826EBC"/>
    <w:rsid w:val="00832353"/>
    <w:rsid w:val="00851D34"/>
    <w:rsid w:val="008542EF"/>
    <w:rsid w:val="008556C4"/>
    <w:rsid w:val="00875863"/>
    <w:rsid w:val="00886846"/>
    <w:rsid w:val="00890A82"/>
    <w:rsid w:val="008A2B60"/>
    <w:rsid w:val="008A7C25"/>
    <w:rsid w:val="008B5AF3"/>
    <w:rsid w:val="008C606F"/>
    <w:rsid w:val="008D6270"/>
    <w:rsid w:val="008E11AC"/>
    <w:rsid w:val="008E4FFB"/>
    <w:rsid w:val="008E53C6"/>
    <w:rsid w:val="008F0F07"/>
    <w:rsid w:val="00920C93"/>
    <w:rsid w:val="009252A6"/>
    <w:rsid w:val="009517B3"/>
    <w:rsid w:val="00961E97"/>
    <w:rsid w:val="00962E07"/>
    <w:rsid w:val="009646F9"/>
    <w:rsid w:val="009805EE"/>
    <w:rsid w:val="00980D0B"/>
    <w:rsid w:val="00982EF3"/>
    <w:rsid w:val="009A0FDF"/>
    <w:rsid w:val="009B24AA"/>
    <w:rsid w:val="009B2A21"/>
    <w:rsid w:val="009B44EF"/>
    <w:rsid w:val="009B73FA"/>
    <w:rsid w:val="009C3CB1"/>
    <w:rsid w:val="009D024B"/>
    <w:rsid w:val="009D7502"/>
    <w:rsid w:val="009E3F4E"/>
    <w:rsid w:val="009F40A4"/>
    <w:rsid w:val="00A172DD"/>
    <w:rsid w:val="00A42547"/>
    <w:rsid w:val="00A429DF"/>
    <w:rsid w:val="00A50905"/>
    <w:rsid w:val="00A5090F"/>
    <w:rsid w:val="00A535F4"/>
    <w:rsid w:val="00A544B6"/>
    <w:rsid w:val="00A63026"/>
    <w:rsid w:val="00A836E8"/>
    <w:rsid w:val="00A95422"/>
    <w:rsid w:val="00A9634B"/>
    <w:rsid w:val="00AB2729"/>
    <w:rsid w:val="00AB2B97"/>
    <w:rsid w:val="00AC0F62"/>
    <w:rsid w:val="00AC4BD5"/>
    <w:rsid w:val="00AD4474"/>
    <w:rsid w:val="00AE3585"/>
    <w:rsid w:val="00AF4E6F"/>
    <w:rsid w:val="00B07A43"/>
    <w:rsid w:val="00B2225B"/>
    <w:rsid w:val="00B421E3"/>
    <w:rsid w:val="00B467A2"/>
    <w:rsid w:val="00B51B6D"/>
    <w:rsid w:val="00B6238E"/>
    <w:rsid w:val="00B710D4"/>
    <w:rsid w:val="00B738D4"/>
    <w:rsid w:val="00B86CFA"/>
    <w:rsid w:val="00BA36F2"/>
    <w:rsid w:val="00BD0007"/>
    <w:rsid w:val="00BD4255"/>
    <w:rsid w:val="00BE08C2"/>
    <w:rsid w:val="00BF06B1"/>
    <w:rsid w:val="00BF0D72"/>
    <w:rsid w:val="00BF342B"/>
    <w:rsid w:val="00C054FA"/>
    <w:rsid w:val="00C07D31"/>
    <w:rsid w:val="00C10428"/>
    <w:rsid w:val="00C15D1D"/>
    <w:rsid w:val="00C22C16"/>
    <w:rsid w:val="00C37E84"/>
    <w:rsid w:val="00C519C8"/>
    <w:rsid w:val="00C53471"/>
    <w:rsid w:val="00C5424B"/>
    <w:rsid w:val="00C95D18"/>
    <w:rsid w:val="00CA434A"/>
    <w:rsid w:val="00D0190E"/>
    <w:rsid w:val="00D15C84"/>
    <w:rsid w:val="00D26420"/>
    <w:rsid w:val="00D26C56"/>
    <w:rsid w:val="00D32823"/>
    <w:rsid w:val="00D3523D"/>
    <w:rsid w:val="00D3689F"/>
    <w:rsid w:val="00D4419A"/>
    <w:rsid w:val="00D460F9"/>
    <w:rsid w:val="00D55B68"/>
    <w:rsid w:val="00D653DE"/>
    <w:rsid w:val="00D95544"/>
    <w:rsid w:val="00DB174A"/>
    <w:rsid w:val="00DB5FD5"/>
    <w:rsid w:val="00DB7F44"/>
    <w:rsid w:val="00DC61DB"/>
    <w:rsid w:val="00DC7D9B"/>
    <w:rsid w:val="00DE7153"/>
    <w:rsid w:val="00DF490F"/>
    <w:rsid w:val="00DF622A"/>
    <w:rsid w:val="00E0113A"/>
    <w:rsid w:val="00E01255"/>
    <w:rsid w:val="00E0218E"/>
    <w:rsid w:val="00E0585A"/>
    <w:rsid w:val="00E1321F"/>
    <w:rsid w:val="00E22E42"/>
    <w:rsid w:val="00E24744"/>
    <w:rsid w:val="00E25A59"/>
    <w:rsid w:val="00E3273C"/>
    <w:rsid w:val="00E70083"/>
    <w:rsid w:val="00E775CD"/>
    <w:rsid w:val="00E86471"/>
    <w:rsid w:val="00E92295"/>
    <w:rsid w:val="00E95A29"/>
    <w:rsid w:val="00EA619B"/>
    <w:rsid w:val="00EC095A"/>
    <w:rsid w:val="00EC5EC0"/>
    <w:rsid w:val="00ED63B2"/>
    <w:rsid w:val="00EE0950"/>
    <w:rsid w:val="00EF2D6E"/>
    <w:rsid w:val="00F611E7"/>
    <w:rsid w:val="00F67F7F"/>
    <w:rsid w:val="00F77125"/>
    <w:rsid w:val="00F82CBC"/>
    <w:rsid w:val="00F8447A"/>
    <w:rsid w:val="00F84D9A"/>
    <w:rsid w:val="00F93C64"/>
    <w:rsid w:val="00F93FA8"/>
    <w:rsid w:val="00FB568D"/>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C663"/>
  <w15:chartTrackingRefBased/>
  <w15:docId w15:val="{02D6C8E6-8BD1-403A-8636-9BE6CF9F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40A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471"/>
    <w:pPr>
      <w:spacing w:after="0" w:line="240" w:lineRule="auto"/>
    </w:pPr>
    <w:rPr>
      <w:rFonts w:ascii="Arial" w:eastAsia="Arial" w:hAnsi="Arial" w:cs="Times New Roman"/>
      <w:sz w:val="24"/>
      <w:szCs w:val="24"/>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302AB"/>
    <w:pPr>
      <w:ind w:left="720"/>
      <w:contextualSpacing/>
    </w:pPr>
  </w:style>
  <w:style w:type="paragraph" w:styleId="BalloonText">
    <w:name w:val="Balloon Text"/>
    <w:basedOn w:val="Normal"/>
    <w:link w:val="BalloonTextChar"/>
    <w:uiPriority w:val="99"/>
    <w:semiHidden/>
    <w:unhideWhenUsed/>
    <w:rsid w:val="007F0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CD"/>
    <w:rPr>
      <w:rFonts w:ascii="Segoe UI" w:hAnsi="Segoe UI" w:cs="Segoe UI"/>
      <w:sz w:val="18"/>
      <w:szCs w:val="18"/>
    </w:rPr>
  </w:style>
  <w:style w:type="character" w:styleId="CommentReference">
    <w:name w:val="annotation reference"/>
    <w:basedOn w:val="DefaultParagraphFont"/>
    <w:uiPriority w:val="99"/>
    <w:semiHidden/>
    <w:unhideWhenUsed/>
    <w:rsid w:val="007F01CD"/>
    <w:rPr>
      <w:sz w:val="16"/>
      <w:szCs w:val="16"/>
    </w:rPr>
  </w:style>
  <w:style w:type="paragraph" w:styleId="CommentText">
    <w:name w:val="annotation text"/>
    <w:basedOn w:val="Normal"/>
    <w:link w:val="CommentTextChar"/>
    <w:uiPriority w:val="99"/>
    <w:semiHidden/>
    <w:unhideWhenUsed/>
    <w:rsid w:val="007F01CD"/>
    <w:pPr>
      <w:spacing w:line="240" w:lineRule="auto"/>
    </w:pPr>
    <w:rPr>
      <w:sz w:val="20"/>
      <w:szCs w:val="20"/>
    </w:rPr>
  </w:style>
  <w:style w:type="character" w:customStyle="1" w:styleId="CommentTextChar">
    <w:name w:val="Comment Text Char"/>
    <w:basedOn w:val="DefaultParagraphFont"/>
    <w:link w:val="CommentText"/>
    <w:uiPriority w:val="99"/>
    <w:semiHidden/>
    <w:rsid w:val="007F01CD"/>
    <w:rPr>
      <w:sz w:val="20"/>
      <w:szCs w:val="20"/>
    </w:rPr>
  </w:style>
  <w:style w:type="character" w:styleId="Hyperlink">
    <w:name w:val="Hyperlink"/>
    <w:basedOn w:val="DefaultParagraphFont"/>
    <w:uiPriority w:val="99"/>
    <w:unhideWhenUsed/>
    <w:rsid w:val="00C22C16"/>
    <w:rPr>
      <w:color w:val="0563C1" w:themeColor="hyperlink"/>
      <w:u w:val="single"/>
    </w:rPr>
  </w:style>
  <w:style w:type="paragraph" w:styleId="NormalWeb">
    <w:name w:val="Normal (Web)"/>
    <w:basedOn w:val="Normal"/>
    <w:uiPriority w:val="99"/>
    <w:unhideWhenUsed/>
    <w:rsid w:val="00C22C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unhideWhenUsed/>
    <w:rsid w:val="00890A82"/>
    <w:pPr>
      <w:spacing w:after="0" w:line="240" w:lineRule="auto"/>
    </w:pPr>
    <w:rPr>
      <w:sz w:val="20"/>
      <w:szCs w:val="20"/>
    </w:rPr>
  </w:style>
  <w:style w:type="character" w:customStyle="1" w:styleId="FootnoteTextChar">
    <w:name w:val="Footnote Text Char"/>
    <w:basedOn w:val="DefaultParagraphFont"/>
    <w:link w:val="FootnoteText"/>
    <w:semiHidden/>
    <w:rsid w:val="00890A82"/>
    <w:rPr>
      <w:sz w:val="20"/>
      <w:szCs w:val="20"/>
    </w:rPr>
  </w:style>
  <w:style w:type="character" w:styleId="FootnoteReference">
    <w:name w:val="footnote reference"/>
    <w:basedOn w:val="DefaultParagraphFont"/>
    <w:semiHidden/>
    <w:unhideWhenUsed/>
    <w:rsid w:val="00890A82"/>
    <w:rPr>
      <w:vertAlign w:val="superscript"/>
    </w:rPr>
  </w:style>
  <w:style w:type="paragraph" w:styleId="CommentSubject">
    <w:name w:val="annotation subject"/>
    <w:basedOn w:val="CommentText"/>
    <w:next w:val="CommentText"/>
    <w:link w:val="CommentSubjectChar"/>
    <w:uiPriority w:val="99"/>
    <w:semiHidden/>
    <w:unhideWhenUsed/>
    <w:rsid w:val="0072491A"/>
    <w:rPr>
      <w:b/>
      <w:bCs/>
    </w:rPr>
  </w:style>
  <w:style w:type="character" w:customStyle="1" w:styleId="CommentSubjectChar">
    <w:name w:val="Comment Subject Char"/>
    <w:basedOn w:val="CommentTextChar"/>
    <w:link w:val="CommentSubject"/>
    <w:uiPriority w:val="99"/>
    <w:semiHidden/>
    <w:rsid w:val="0072491A"/>
    <w:rPr>
      <w:b/>
      <w:bCs/>
      <w:sz w:val="20"/>
      <w:szCs w:val="20"/>
    </w:rPr>
  </w:style>
  <w:style w:type="character" w:styleId="UnresolvedMention">
    <w:name w:val="Unresolved Mention"/>
    <w:basedOn w:val="DefaultParagraphFont"/>
    <w:uiPriority w:val="99"/>
    <w:semiHidden/>
    <w:unhideWhenUsed/>
    <w:rsid w:val="005508EA"/>
    <w:rPr>
      <w:color w:val="605E5C"/>
      <w:shd w:val="clear" w:color="auto" w:fill="E1DFDD"/>
    </w:rPr>
  </w:style>
  <w:style w:type="character" w:customStyle="1" w:styleId="Heading2Char">
    <w:name w:val="Heading 2 Char"/>
    <w:basedOn w:val="DefaultParagraphFont"/>
    <w:link w:val="Heading2"/>
    <w:uiPriority w:val="9"/>
    <w:rsid w:val="009F40A4"/>
    <w:rPr>
      <w:rFonts w:ascii="Times New Roman" w:eastAsia="Times New Roman" w:hAnsi="Times New Roman" w:cs="Times New Roman"/>
      <w:b/>
      <w:bCs/>
      <w:sz w:val="36"/>
      <w:szCs w:val="36"/>
      <w:lang w:val="en-GB" w:eastAsia="en-GB"/>
    </w:rPr>
  </w:style>
  <w:style w:type="paragraph" w:customStyle="1" w:styleId="pf0">
    <w:name w:val="pf0"/>
    <w:basedOn w:val="Normal"/>
    <w:rsid w:val="003941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394120"/>
    <w:rPr>
      <w:rFonts w:ascii="Segoe UI" w:hAnsi="Segoe UI" w:cs="Segoe UI" w:hint="default"/>
      <w:sz w:val="18"/>
      <w:szCs w:val="18"/>
    </w:rPr>
  </w:style>
  <w:style w:type="character" w:customStyle="1" w:styleId="cf11">
    <w:name w:val="cf11"/>
    <w:basedOn w:val="DefaultParagraphFont"/>
    <w:rsid w:val="00394120"/>
    <w:rPr>
      <w:rFonts w:ascii="Segoe UI" w:hAnsi="Segoe UI" w:cs="Segoe UI" w:hint="default"/>
      <w:sz w:val="18"/>
      <w:szCs w:val="18"/>
    </w:rPr>
  </w:style>
  <w:style w:type="character" w:styleId="FollowedHyperlink">
    <w:name w:val="FollowedHyperlink"/>
    <w:basedOn w:val="DefaultParagraphFont"/>
    <w:uiPriority w:val="99"/>
    <w:semiHidden/>
    <w:unhideWhenUsed/>
    <w:rsid w:val="007371F6"/>
    <w:rPr>
      <w:color w:val="954F72" w:themeColor="followedHyperlink"/>
      <w:u w:val="single"/>
    </w:rPr>
  </w:style>
  <w:style w:type="paragraph" w:styleId="Header">
    <w:name w:val="header"/>
    <w:basedOn w:val="Normal"/>
    <w:link w:val="HeaderChar"/>
    <w:uiPriority w:val="99"/>
    <w:unhideWhenUsed/>
    <w:rsid w:val="006D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FF"/>
  </w:style>
  <w:style w:type="paragraph" w:styleId="Footer">
    <w:name w:val="footer"/>
    <w:basedOn w:val="Normal"/>
    <w:link w:val="FooterChar"/>
    <w:uiPriority w:val="99"/>
    <w:unhideWhenUsed/>
    <w:rsid w:val="006D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5691">
      <w:bodyDiv w:val="1"/>
      <w:marLeft w:val="0"/>
      <w:marRight w:val="0"/>
      <w:marTop w:val="0"/>
      <w:marBottom w:val="0"/>
      <w:divBdr>
        <w:top w:val="none" w:sz="0" w:space="0" w:color="auto"/>
        <w:left w:val="none" w:sz="0" w:space="0" w:color="auto"/>
        <w:bottom w:val="none" w:sz="0" w:space="0" w:color="auto"/>
        <w:right w:val="none" w:sz="0" w:space="0" w:color="auto"/>
      </w:divBdr>
    </w:div>
    <w:div w:id="674498817">
      <w:bodyDiv w:val="1"/>
      <w:marLeft w:val="0"/>
      <w:marRight w:val="0"/>
      <w:marTop w:val="0"/>
      <w:marBottom w:val="0"/>
      <w:divBdr>
        <w:top w:val="none" w:sz="0" w:space="0" w:color="auto"/>
        <w:left w:val="none" w:sz="0" w:space="0" w:color="auto"/>
        <w:bottom w:val="none" w:sz="0" w:space="0" w:color="auto"/>
        <w:right w:val="none" w:sz="0" w:space="0" w:color="auto"/>
      </w:divBdr>
    </w:div>
    <w:div w:id="1015763850">
      <w:bodyDiv w:val="1"/>
      <w:marLeft w:val="0"/>
      <w:marRight w:val="0"/>
      <w:marTop w:val="0"/>
      <w:marBottom w:val="0"/>
      <w:divBdr>
        <w:top w:val="none" w:sz="0" w:space="0" w:color="auto"/>
        <w:left w:val="none" w:sz="0" w:space="0" w:color="auto"/>
        <w:bottom w:val="none" w:sz="0" w:space="0" w:color="auto"/>
        <w:right w:val="none" w:sz="0" w:space="0" w:color="auto"/>
      </w:divBdr>
    </w:div>
    <w:div w:id="1170758196">
      <w:bodyDiv w:val="1"/>
      <w:marLeft w:val="0"/>
      <w:marRight w:val="0"/>
      <w:marTop w:val="0"/>
      <w:marBottom w:val="0"/>
      <w:divBdr>
        <w:top w:val="none" w:sz="0" w:space="0" w:color="auto"/>
        <w:left w:val="none" w:sz="0" w:space="0" w:color="auto"/>
        <w:bottom w:val="none" w:sz="0" w:space="0" w:color="auto"/>
        <w:right w:val="none" w:sz="0" w:space="0" w:color="auto"/>
      </w:divBdr>
    </w:div>
    <w:div w:id="1485974251">
      <w:bodyDiv w:val="1"/>
      <w:marLeft w:val="0"/>
      <w:marRight w:val="0"/>
      <w:marTop w:val="0"/>
      <w:marBottom w:val="0"/>
      <w:divBdr>
        <w:top w:val="none" w:sz="0" w:space="0" w:color="auto"/>
        <w:left w:val="none" w:sz="0" w:space="0" w:color="auto"/>
        <w:bottom w:val="none" w:sz="0" w:space="0" w:color="auto"/>
        <w:right w:val="none" w:sz="0" w:space="0" w:color="auto"/>
      </w:divBdr>
    </w:div>
    <w:div w:id="18323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wrence.ambrose@rcpo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odiatrytoday.com/closer-look-mortality-after-lower-extremity-amputation" TargetMode="External"/><Relationship Id="rId3" Type="http://schemas.openxmlformats.org/officeDocument/2006/relationships/hyperlink" Target="https://www.hcpc-uk.org/standards/standards-of-proficiency/chiropodists-podiatrists/" TargetMode="External"/><Relationship Id="rId7" Type="http://schemas.openxmlformats.org/officeDocument/2006/relationships/hyperlink" Target="https://www.gov.scot/binaries/content/documents/govscot/publications/strategy-plan/2006/12/delivering-mental-health/documents/0042281-pdf/0042281-pdf/govscot%3Adocument/0042281.pdf" TargetMode="External"/><Relationship Id="rId2" Type="http://schemas.openxmlformats.org/officeDocument/2006/relationships/hyperlink" Target="https://www.gov.scot/publications/mental-health-strategy-2017-2027/pages/3/" TargetMode="External"/><Relationship Id="rId1" Type="http://schemas.openxmlformats.org/officeDocument/2006/relationships/hyperlink" Target="https://www.kingsfund.org.uk/publications/articles/big-election-questions-parity-mental-physical-health" TargetMode="External"/><Relationship Id="rId6" Type="http://schemas.openxmlformats.org/officeDocument/2006/relationships/hyperlink" Target="https://archive2021.parliament.scot/parliamentarybusiness/CurrentCommittees/112415.aspx" TargetMode="External"/><Relationship Id="rId5" Type="http://schemas.openxmlformats.org/officeDocument/2006/relationships/hyperlink" Target="https://cop.org.uk/the-college/policy-positions" TargetMode="External"/><Relationship Id="rId10" Type="http://schemas.openxmlformats.org/officeDocument/2006/relationships/hyperlink" Target="https://www.nice.org.uk/guidance/ng19" TargetMode="External"/><Relationship Id="rId4" Type="http://schemas.openxmlformats.org/officeDocument/2006/relationships/hyperlink" Target="https://www.nice.org.uk/guidance/cg161/chapter/introduction" TargetMode="External"/><Relationship Id="rId9" Type="http://schemas.openxmlformats.org/officeDocument/2006/relationships/hyperlink" Target="https://www.ejves.com/article/S1078-5884(18)30760-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8577D709BF7447814AEBBD1AC35BF6" ma:contentTypeVersion="13" ma:contentTypeDescription="Create a new document." ma:contentTypeScope="" ma:versionID="c8f03a109a89ca54fe04d7678f98991c">
  <xsd:schema xmlns:xsd="http://www.w3.org/2001/XMLSchema" xmlns:xs="http://www.w3.org/2001/XMLSchema" xmlns:p="http://schemas.microsoft.com/office/2006/metadata/properties" xmlns:ns2="7da33e2c-10e9-4516-8bbd-90a8b9246fc2" xmlns:ns3="9b0ca71c-210a-4371-a9c7-9f929c6d7f37" targetNamespace="http://schemas.microsoft.com/office/2006/metadata/properties" ma:root="true" ma:fieldsID="059c85491c2bcfd72d2d5dc105cf113e" ns2:_="" ns3:_="">
    <xsd:import namespace="7da33e2c-10e9-4516-8bbd-90a8b9246fc2"/>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3e2c-10e9-4516-8bbd-90a8b924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6789F-9BB9-4C50-A2ED-31B51A6E4BBB}">
  <ds:schemaRefs>
    <ds:schemaRef ds:uri="http://schemas.openxmlformats.org/officeDocument/2006/bibliography"/>
  </ds:schemaRefs>
</ds:datastoreItem>
</file>

<file path=customXml/itemProps2.xml><?xml version="1.0" encoding="utf-8"?>
<ds:datastoreItem xmlns:ds="http://schemas.openxmlformats.org/officeDocument/2006/customXml" ds:itemID="{239280B9-3E94-40F2-A16A-0C8AEE393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3e2c-10e9-4516-8bbd-90a8b9246fc2"/>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56BFE-52F3-4070-89CD-36CB88D051F7}">
  <ds:schemaRefs>
    <ds:schemaRef ds:uri="http://schemas.microsoft.com/sharepoint/v3/contenttype/forms"/>
  </ds:schemaRefs>
</ds:datastoreItem>
</file>

<file path=customXml/itemProps4.xml><?xml version="1.0" encoding="utf-8"?>
<ds:datastoreItem xmlns:ds="http://schemas.openxmlformats.org/officeDocument/2006/customXml" ds:itemID="{42FAE692-218B-4984-A666-216FE1665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Barrow</dc:creator>
  <cp:keywords/>
  <dc:description/>
  <cp:lastModifiedBy>Rachel Mooney (HEIW)</cp:lastModifiedBy>
  <cp:revision>31</cp:revision>
  <dcterms:created xsi:type="dcterms:W3CDTF">2021-05-25T16:06:00Z</dcterms:created>
  <dcterms:modified xsi:type="dcterms:W3CDTF">2022-01-26T21:30:00Z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0x010100018577D709BF7447814AEBBD1AC35BF6</vt:lpwstr>
  </property>
</Properties>
</file>