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A9828D" w14:textId="77777777" w:rsidR="005F2BC2" w:rsidRPr="00952BBE" w:rsidRDefault="005F2BC2" w:rsidP="005F2BC2">
      <w:pPr>
        <w:spacing w:after="240"/>
        <w:rPr>
          <w:i/>
          <w:iCs/>
          <w:sz w:val="32"/>
          <w:szCs w:val="32"/>
        </w:rPr>
      </w:pPr>
      <w:r w:rsidRPr="00952BBE">
        <w:rPr>
          <w:i/>
          <w:iCs/>
          <w:sz w:val="32"/>
          <w:szCs w:val="32"/>
        </w:rPr>
        <w:t xml:space="preserve">This document has been published as part of the consultation period </w:t>
      </w:r>
      <w:r>
        <w:rPr>
          <w:i/>
          <w:iCs/>
          <w:sz w:val="32"/>
          <w:szCs w:val="32"/>
        </w:rPr>
        <w:t>(</w:t>
      </w:r>
      <w:r w:rsidRPr="00952BBE">
        <w:rPr>
          <w:i/>
          <w:iCs/>
          <w:sz w:val="32"/>
          <w:szCs w:val="32"/>
        </w:rPr>
        <w:t>February 2022 to March 2022</w:t>
      </w:r>
      <w:r>
        <w:rPr>
          <w:i/>
          <w:iCs/>
          <w:sz w:val="32"/>
          <w:szCs w:val="32"/>
        </w:rPr>
        <w:t>)</w:t>
      </w:r>
      <w:r w:rsidRPr="00952BBE">
        <w:rPr>
          <w:i/>
          <w:iCs/>
          <w:sz w:val="32"/>
          <w:szCs w:val="32"/>
        </w:rPr>
        <w:t xml:space="preserve"> supporting the development of the HEIW and Social Care Wales Strategic Mental Health Workforce Plan 2022. </w:t>
      </w:r>
    </w:p>
    <w:p w14:paraId="2A0FB22C" w14:textId="77777777" w:rsidR="005E1BAB" w:rsidRDefault="005E1BAB" w:rsidP="005E1BAB">
      <w:pPr>
        <w:rPr>
          <w:i/>
          <w:iCs/>
          <w:sz w:val="32"/>
          <w:szCs w:val="32"/>
        </w:rPr>
      </w:pPr>
      <w:proofErr w:type="spellStart"/>
      <w:r>
        <w:rPr>
          <w:i/>
          <w:iCs/>
          <w:sz w:val="32"/>
          <w:szCs w:val="32"/>
        </w:rPr>
        <w:t>Cyhoeddwyd</w:t>
      </w:r>
      <w:proofErr w:type="spellEnd"/>
      <w:r>
        <w:rPr>
          <w:i/>
          <w:iCs/>
          <w:sz w:val="32"/>
          <w:szCs w:val="32"/>
        </w:rPr>
        <w:t xml:space="preserve"> y </w:t>
      </w:r>
      <w:proofErr w:type="spellStart"/>
      <w:r>
        <w:rPr>
          <w:i/>
          <w:iCs/>
          <w:sz w:val="32"/>
          <w:szCs w:val="32"/>
        </w:rPr>
        <w:t>ddogfen</w:t>
      </w:r>
      <w:proofErr w:type="spellEnd"/>
      <w:r>
        <w:rPr>
          <w:i/>
          <w:iCs/>
          <w:sz w:val="32"/>
          <w:szCs w:val="32"/>
        </w:rPr>
        <w:t xml:space="preserve"> hon </w:t>
      </w:r>
      <w:proofErr w:type="spellStart"/>
      <w:r>
        <w:rPr>
          <w:i/>
          <w:iCs/>
          <w:sz w:val="32"/>
          <w:szCs w:val="32"/>
        </w:rPr>
        <w:t>fel</w:t>
      </w:r>
      <w:proofErr w:type="spellEnd"/>
      <w:r>
        <w:rPr>
          <w:i/>
          <w:iCs/>
          <w:sz w:val="32"/>
          <w:szCs w:val="32"/>
        </w:rPr>
        <w:t xml:space="preserve"> </w:t>
      </w:r>
      <w:proofErr w:type="spellStart"/>
      <w:r>
        <w:rPr>
          <w:i/>
          <w:iCs/>
          <w:sz w:val="32"/>
          <w:szCs w:val="32"/>
        </w:rPr>
        <w:t>rhan</w:t>
      </w:r>
      <w:proofErr w:type="spellEnd"/>
      <w:r>
        <w:rPr>
          <w:i/>
          <w:iCs/>
          <w:sz w:val="32"/>
          <w:szCs w:val="32"/>
        </w:rPr>
        <w:t xml:space="preserve"> </w:t>
      </w:r>
      <w:proofErr w:type="spellStart"/>
      <w:r>
        <w:rPr>
          <w:i/>
          <w:iCs/>
          <w:sz w:val="32"/>
          <w:szCs w:val="32"/>
        </w:rPr>
        <w:t>o'r</w:t>
      </w:r>
      <w:proofErr w:type="spellEnd"/>
      <w:r>
        <w:rPr>
          <w:i/>
          <w:iCs/>
          <w:sz w:val="32"/>
          <w:szCs w:val="32"/>
        </w:rPr>
        <w:t xml:space="preserve"> </w:t>
      </w:r>
      <w:proofErr w:type="spellStart"/>
      <w:r>
        <w:rPr>
          <w:i/>
          <w:iCs/>
          <w:sz w:val="32"/>
          <w:szCs w:val="32"/>
        </w:rPr>
        <w:t>cyfnod</w:t>
      </w:r>
      <w:proofErr w:type="spellEnd"/>
      <w:r>
        <w:rPr>
          <w:i/>
          <w:iCs/>
          <w:sz w:val="32"/>
          <w:szCs w:val="32"/>
        </w:rPr>
        <w:t xml:space="preserve"> </w:t>
      </w:r>
      <w:proofErr w:type="spellStart"/>
      <w:r>
        <w:rPr>
          <w:i/>
          <w:iCs/>
          <w:sz w:val="32"/>
          <w:szCs w:val="32"/>
        </w:rPr>
        <w:t>ymgynghori</w:t>
      </w:r>
      <w:proofErr w:type="spellEnd"/>
      <w:r>
        <w:rPr>
          <w:i/>
          <w:iCs/>
          <w:sz w:val="32"/>
          <w:szCs w:val="32"/>
        </w:rPr>
        <w:t xml:space="preserve"> </w:t>
      </w:r>
      <w:proofErr w:type="spellStart"/>
      <w:r>
        <w:rPr>
          <w:i/>
          <w:iCs/>
          <w:sz w:val="32"/>
          <w:szCs w:val="32"/>
        </w:rPr>
        <w:t>Chwefror</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Fawrth</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gefnogi</w:t>
      </w:r>
      <w:proofErr w:type="spellEnd"/>
      <w:r>
        <w:rPr>
          <w:i/>
          <w:iCs/>
          <w:sz w:val="32"/>
          <w:szCs w:val="32"/>
        </w:rPr>
        <w:t xml:space="preserve"> </w:t>
      </w:r>
      <w:proofErr w:type="spellStart"/>
      <w:r>
        <w:rPr>
          <w:i/>
          <w:iCs/>
          <w:sz w:val="32"/>
          <w:szCs w:val="32"/>
        </w:rPr>
        <w:t>datblygiad</w:t>
      </w:r>
      <w:proofErr w:type="spellEnd"/>
      <w:r>
        <w:rPr>
          <w:i/>
          <w:iCs/>
          <w:sz w:val="32"/>
          <w:szCs w:val="32"/>
        </w:rPr>
        <w:t xml:space="preserve"> </w:t>
      </w:r>
      <w:proofErr w:type="spellStart"/>
      <w:r>
        <w:rPr>
          <w:i/>
          <w:iCs/>
          <w:sz w:val="32"/>
          <w:szCs w:val="32"/>
        </w:rPr>
        <w:t>Cynllun</w:t>
      </w:r>
      <w:proofErr w:type="spellEnd"/>
      <w:r>
        <w:rPr>
          <w:i/>
          <w:iCs/>
          <w:sz w:val="32"/>
          <w:szCs w:val="32"/>
        </w:rPr>
        <w:t xml:space="preserve"> </w:t>
      </w:r>
      <w:proofErr w:type="spellStart"/>
      <w:r>
        <w:rPr>
          <w:i/>
          <w:iCs/>
          <w:sz w:val="32"/>
          <w:szCs w:val="32"/>
        </w:rPr>
        <w:t>Gweithlu</w:t>
      </w:r>
      <w:proofErr w:type="spellEnd"/>
      <w:r>
        <w:rPr>
          <w:i/>
          <w:iCs/>
          <w:sz w:val="32"/>
          <w:szCs w:val="32"/>
        </w:rPr>
        <w:t xml:space="preserve"> Iechyd </w:t>
      </w:r>
      <w:proofErr w:type="spellStart"/>
      <w:r>
        <w:rPr>
          <w:i/>
          <w:iCs/>
          <w:sz w:val="32"/>
          <w:szCs w:val="32"/>
        </w:rPr>
        <w:t>Meddwl</w:t>
      </w:r>
      <w:proofErr w:type="spellEnd"/>
      <w:r>
        <w:rPr>
          <w:i/>
          <w:iCs/>
          <w:sz w:val="32"/>
          <w:szCs w:val="32"/>
        </w:rPr>
        <w:t xml:space="preserve"> </w:t>
      </w:r>
      <w:proofErr w:type="spellStart"/>
      <w:r>
        <w:rPr>
          <w:i/>
          <w:iCs/>
          <w:sz w:val="32"/>
          <w:szCs w:val="32"/>
        </w:rPr>
        <w:t>Strategol</w:t>
      </w:r>
      <w:proofErr w:type="spellEnd"/>
      <w:r>
        <w:rPr>
          <w:i/>
          <w:iCs/>
          <w:sz w:val="32"/>
          <w:szCs w:val="32"/>
        </w:rPr>
        <w:t xml:space="preserve"> </w:t>
      </w:r>
      <w:proofErr w:type="spellStart"/>
      <w:r>
        <w:rPr>
          <w:i/>
          <w:iCs/>
          <w:sz w:val="32"/>
          <w:szCs w:val="32"/>
        </w:rPr>
        <w:t>AaGIC</w:t>
      </w:r>
      <w:proofErr w:type="spellEnd"/>
      <w:r>
        <w:rPr>
          <w:i/>
          <w:iCs/>
          <w:sz w:val="32"/>
          <w:szCs w:val="32"/>
        </w:rPr>
        <w:t xml:space="preserve"> a </w:t>
      </w:r>
      <w:proofErr w:type="spellStart"/>
      <w:r>
        <w:rPr>
          <w:i/>
          <w:iCs/>
          <w:sz w:val="32"/>
          <w:szCs w:val="32"/>
        </w:rPr>
        <w:t>Gofal</w:t>
      </w:r>
      <w:proofErr w:type="spellEnd"/>
      <w:r>
        <w:rPr>
          <w:i/>
          <w:iCs/>
          <w:sz w:val="32"/>
          <w:szCs w:val="32"/>
        </w:rPr>
        <w:t xml:space="preserve"> </w:t>
      </w:r>
      <w:proofErr w:type="spellStart"/>
      <w:r>
        <w:rPr>
          <w:i/>
          <w:iCs/>
          <w:sz w:val="32"/>
          <w:szCs w:val="32"/>
        </w:rPr>
        <w:t>Cymdeithasol</w:t>
      </w:r>
      <w:proofErr w:type="spellEnd"/>
      <w:r>
        <w:rPr>
          <w:i/>
          <w:iCs/>
          <w:sz w:val="32"/>
          <w:szCs w:val="32"/>
        </w:rPr>
        <w:t xml:space="preserve"> Cymru 2022.</w:t>
      </w:r>
    </w:p>
    <w:p w14:paraId="54B28684" w14:textId="77777777" w:rsidR="005F2BC2" w:rsidRDefault="005F2BC2" w:rsidP="005F2BC2">
      <w:pPr>
        <w:rPr>
          <w:rFonts w:cstheme="minorHAnsi"/>
          <w:b/>
          <w:bCs/>
          <w:sz w:val="52"/>
          <w:szCs w:val="52"/>
        </w:rPr>
      </w:pPr>
    </w:p>
    <w:p w14:paraId="5FDF558F" w14:textId="77777777" w:rsidR="005F2BC2" w:rsidRPr="000901A1" w:rsidRDefault="005F2BC2" w:rsidP="005F2BC2">
      <w:pPr>
        <w:rPr>
          <w:sz w:val="52"/>
          <w:szCs w:val="52"/>
        </w:rPr>
      </w:pPr>
      <w:r w:rsidRPr="000901A1">
        <w:rPr>
          <w:rFonts w:cstheme="minorHAnsi"/>
          <w:b/>
          <w:bCs/>
          <w:sz w:val="52"/>
          <w:szCs w:val="52"/>
        </w:rPr>
        <w:t xml:space="preserve">ASD and MH dietetics BDA / </w:t>
      </w:r>
      <w:r w:rsidRPr="000901A1">
        <w:rPr>
          <w:rFonts w:cstheme="minorHAnsi"/>
          <w:b/>
          <w:bCs/>
          <w:sz w:val="52"/>
          <w:szCs w:val="52"/>
          <w:lang w:val="cy-GB"/>
        </w:rPr>
        <w:t>ASD a Deieteg IM BDA</w:t>
      </w:r>
    </w:p>
    <w:p w14:paraId="15E24676" w14:textId="77777777" w:rsidR="005F2BC2" w:rsidRDefault="005F2BC2" w:rsidP="005F2BC2">
      <w:pPr>
        <w:rPr>
          <w:rFonts w:ascii="Arial" w:eastAsia="Arial" w:hAnsi="Arial" w:cs="Arial"/>
          <w:b/>
          <w:sz w:val="24"/>
          <w:szCs w:val="24"/>
          <w:lang w:eastAsia="en-GB"/>
        </w:rPr>
      </w:pPr>
    </w:p>
    <w:p w14:paraId="24B5EBD8" w14:textId="77777777" w:rsidR="005F2BC2" w:rsidRPr="00AF7674" w:rsidRDefault="005F2BC2" w:rsidP="005F2BC2">
      <w:pPr>
        <w:rPr>
          <w:sz w:val="40"/>
          <w:szCs w:val="40"/>
        </w:rPr>
      </w:pPr>
      <w:r w:rsidRPr="00AF7674">
        <w:rPr>
          <w:rFonts w:cstheme="minorHAnsi"/>
          <w:b/>
          <w:bCs/>
          <w:sz w:val="40"/>
          <w:szCs w:val="40"/>
        </w:rPr>
        <w:t xml:space="preserve">October 2021 / </w:t>
      </w:r>
      <w:r w:rsidRPr="00AF7674">
        <w:rPr>
          <w:rFonts w:cstheme="minorHAnsi"/>
          <w:b/>
          <w:bCs/>
          <w:sz w:val="40"/>
          <w:szCs w:val="40"/>
          <w:lang w:val="cy-GB"/>
        </w:rPr>
        <w:t>Hydref 2021</w:t>
      </w:r>
    </w:p>
    <w:p w14:paraId="7225822D" w14:textId="77777777" w:rsidR="005F2BC2" w:rsidRDefault="005F2BC2" w:rsidP="005F2BC2">
      <w:pPr>
        <w:rPr>
          <w:rFonts w:ascii="Arial" w:eastAsia="Arial" w:hAnsi="Arial" w:cs="Arial"/>
          <w:b/>
          <w:sz w:val="24"/>
          <w:szCs w:val="24"/>
          <w:lang w:eastAsia="en-GB"/>
        </w:rPr>
      </w:pPr>
    </w:p>
    <w:p w14:paraId="23FFE7D8" w14:textId="692E26EE" w:rsidR="005F2BC2" w:rsidRPr="0087356E" w:rsidRDefault="00262256" w:rsidP="005F2BC2">
      <w:pPr>
        <w:rPr>
          <w:rFonts w:eastAsia="Arial" w:cs="Arial"/>
          <w:b/>
          <w:sz w:val="28"/>
          <w:szCs w:val="28"/>
          <w:lang w:eastAsia="en-GB"/>
        </w:rPr>
      </w:pPr>
      <w:r>
        <w:rPr>
          <w:sz w:val="28"/>
          <w:szCs w:val="28"/>
        </w:rPr>
        <w:t>Author/</w:t>
      </w:r>
      <w:proofErr w:type="spellStart"/>
      <w:r>
        <w:rPr>
          <w:sz w:val="28"/>
          <w:szCs w:val="28"/>
        </w:rPr>
        <w:t>Awdur</w:t>
      </w:r>
      <w:proofErr w:type="spellEnd"/>
      <w:r>
        <w:rPr>
          <w:sz w:val="28"/>
          <w:szCs w:val="28"/>
        </w:rPr>
        <w:t xml:space="preserve">: </w:t>
      </w:r>
      <w:r w:rsidR="005F2BC2" w:rsidRPr="0087356E">
        <w:rPr>
          <w:rFonts w:eastAsia="Arial" w:cs="Arial"/>
          <w:sz w:val="28"/>
          <w:szCs w:val="28"/>
        </w:rPr>
        <w:t>Cardiff and Vale Integrated Autism Service (IAS)</w:t>
      </w:r>
    </w:p>
    <w:p w14:paraId="2B6E07BC" w14:textId="77777777" w:rsidR="005F2BC2" w:rsidRDefault="005F2BC2" w:rsidP="005F2BC2">
      <w:pPr>
        <w:rPr>
          <w:rFonts w:ascii="Arial" w:eastAsia="Arial" w:hAnsi="Arial" w:cs="Arial"/>
          <w:b/>
          <w:sz w:val="24"/>
          <w:szCs w:val="24"/>
          <w:lang w:eastAsia="en-GB"/>
        </w:rPr>
      </w:pPr>
      <w:r>
        <w:rPr>
          <w:rFonts w:ascii="Arial" w:eastAsia="Arial" w:hAnsi="Arial" w:cs="Arial"/>
          <w:b/>
        </w:rPr>
        <w:br w:type="page"/>
      </w:r>
    </w:p>
    <w:p w14:paraId="2C600A98" w14:textId="39765C96" w:rsidR="006C6664" w:rsidRDefault="006C6664" w:rsidP="006C6664">
      <w:pPr>
        <w:pStyle w:val="Normal1"/>
        <w:spacing w:after="160"/>
        <w:jc w:val="both"/>
        <w:rPr>
          <w:rFonts w:ascii="Arial" w:eastAsia="Arial" w:hAnsi="Arial" w:cs="Arial"/>
        </w:rPr>
      </w:pPr>
      <w:r>
        <w:rPr>
          <w:rFonts w:ascii="Arial" w:eastAsia="Arial" w:hAnsi="Arial" w:cs="Arial"/>
          <w:b/>
        </w:rPr>
        <w:lastRenderedPageBreak/>
        <w:t>Introduction</w:t>
      </w:r>
    </w:p>
    <w:p w14:paraId="2C600A99" w14:textId="77777777" w:rsidR="006C6664" w:rsidRDefault="006C6664" w:rsidP="006C6664">
      <w:pPr>
        <w:pStyle w:val="Normal1"/>
        <w:spacing w:after="160"/>
        <w:jc w:val="both"/>
        <w:rPr>
          <w:rFonts w:ascii="Arial" w:eastAsia="Arial" w:hAnsi="Arial" w:cs="Arial"/>
        </w:rPr>
      </w:pPr>
      <w:r>
        <w:rPr>
          <w:rFonts w:ascii="Arial" w:eastAsia="Arial" w:hAnsi="Arial" w:cs="Arial"/>
        </w:rPr>
        <w:t xml:space="preserve">The Cardiff and Vale Integrated Autism Service (IAS) is a multi-agency specialist adult autism service, which is a collaboration between health and social care, hosted by the University Health Board. The team is a multi-disciplinary team of health clinicians and local authority Autism Community Workers. </w:t>
      </w:r>
    </w:p>
    <w:p w14:paraId="2C600A9A" w14:textId="77777777" w:rsidR="006C6664" w:rsidRDefault="006C6664" w:rsidP="006C6664">
      <w:pPr>
        <w:pStyle w:val="Normal1"/>
        <w:spacing w:after="160"/>
        <w:jc w:val="both"/>
        <w:rPr>
          <w:rFonts w:ascii="Arial" w:eastAsia="Arial" w:hAnsi="Arial" w:cs="Arial"/>
        </w:rPr>
      </w:pPr>
      <w:r>
        <w:rPr>
          <w:rFonts w:ascii="Arial" w:eastAsia="Arial" w:hAnsi="Arial" w:cs="Arial"/>
          <w:b/>
        </w:rPr>
        <w:t>Autism spectrum disorder Statistics for UK and Wales</w:t>
      </w:r>
    </w:p>
    <w:p w14:paraId="2C600A9B" w14:textId="77777777" w:rsidR="006C6664" w:rsidRDefault="006C6664" w:rsidP="006C6664">
      <w:pPr>
        <w:pStyle w:val="Normal1"/>
        <w:spacing w:after="160"/>
        <w:jc w:val="both"/>
        <w:rPr>
          <w:rFonts w:ascii="Arial" w:eastAsia="Arial" w:hAnsi="Arial" w:cs="Arial"/>
          <w:vertAlign w:val="superscript"/>
        </w:rPr>
      </w:pPr>
      <w:r>
        <w:rPr>
          <w:rFonts w:ascii="Arial" w:eastAsia="Arial" w:hAnsi="Arial" w:cs="Arial"/>
        </w:rPr>
        <w:t xml:space="preserve">“Autism spectrum disorder (ASD) is a lifelong, developmental disability that affects how a person communicates with and relates to other people and how they experience the world around them”. </w:t>
      </w:r>
      <w:r>
        <w:rPr>
          <w:rFonts w:ascii="Arial" w:eastAsia="Arial" w:hAnsi="Arial" w:cs="Arial"/>
          <w:vertAlign w:val="superscript"/>
        </w:rPr>
        <w:t>(1)</w:t>
      </w:r>
    </w:p>
    <w:p w14:paraId="2C600A9C" w14:textId="77777777" w:rsidR="006C6664" w:rsidRDefault="006C6664" w:rsidP="006C6664">
      <w:pPr>
        <w:pStyle w:val="Normal1"/>
        <w:spacing w:after="160"/>
        <w:jc w:val="both"/>
        <w:rPr>
          <w:rFonts w:ascii="Arial" w:eastAsia="Arial" w:hAnsi="Arial" w:cs="Arial"/>
        </w:rPr>
      </w:pPr>
      <w:r>
        <w:rPr>
          <w:rFonts w:ascii="Arial" w:eastAsia="Arial" w:hAnsi="Arial" w:cs="Arial"/>
          <w:highlight w:val="white"/>
        </w:rPr>
        <w:t>It is challenging to get an exact figure for prevalence of ASD within the UK and in particular Wales. However, the most recent information estimates that 1.1% of the population in the UK may be on the autism spectrum. It is also estimated that between 48% - 56% of autistic people do not have a learning disabilit</w:t>
      </w:r>
      <w:r>
        <w:rPr>
          <w:rFonts w:ascii="Arial" w:eastAsia="Arial" w:hAnsi="Arial" w:cs="Arial"/>
        </w:rPr>
        <w:t>y</w:t>
      </w:r>
      <w:r>
        <w:rPr>
          <w:rFonts w:ascii="Arial" w:eastAsia="Arial" w:hAnsi="Arial" w:cs="Arial"/>
          <w:vertAlign w:val="superscript"/>
        </w:rPr>
        <w:t xml:space="preserve"> (2)</w:t>
      </w:r>
      <w:r>
        <w:rPr>
          <w:rFonts w:ascii="Arial" w:eastAsia="Arial" w:hAnsi="Arial" w:cs="Arial"/>
        </w:rPr>
        <w:t>.</w:t>
      </w:r>
    </w:p>
    <w:p w14:paraId="2C600A9D" w14:textId="77777777" w:rsidR="006C6664" w:rsidRDefault="006C6664" w:rsidP="006C6664">
      <w:pPr>
        <w:pStyle w:val="Normal1"/>
        <w:spacing w:after="160"/>
        <w:jc w:val="both"/>
        <w:rPr>
          <w:rFonts w:ascii="Arial" w:eastAsia="Arial" w:hAnsi="Arial" w:cs="Arial"/>
        </w:rPr>
      </w:pPr>
      <w:r>
        <w:rPr>
          <w:rFonts w:ascii="Arial" w:eastAsia="Arial" w:hAnsi="Arial" w:cs="Arial"/>
          <w:b/>
        </w:rPr>
        <w:t>How a Registered Dietitian can contribute to the team </w:t>
      </w:r>
    </w:p>
    <w:p w14:paraId="2C600A9E" w14:textId="77777777" w:rsidR="006C6664" w:rsidRDefault="006C6664" w:rsidP="006C6664">
      <w:pPr>
        <w:pStyle w:val="Normal1"/>
        <w:spacing w:after="160"/>
        <w:jc w:val="both"/>
        <w:rPr>
          <w:rFonts w:ascii="Arial" w:eastAsia="Arial" w:hAnsi="Arial" w:cs="Arial"/>
        </w:rPr>
      </w:pPr>
      <w:r>
        <w:rPr>
          <w:rFonts w:ascii="Arial" w:eastAsia="Arial" w:hAnsi="Arial" w:cs="Arial"/>
        </w:rPr>
        <w:t>This is a new and emerging role within dietetics in Cardiff and Vale and currently there is only one dietitian within an IAS team in Wales. There is a lot of variety in this role; typically the work includes individual consultations, group work, teaching and joint working or consultations with other partners, services and/or dietitians. </w:t>
      </w:r>
    </w:p>
    <w:p w14:paraId="2C600A9F" w14:textId="77777777" w:rsidR="006C6664" w:rsidRDefault="006C6664" w:rsidP="006C6664">
      <w:pPr>
        <w:pStyle w:val="Normal1"/>
        <w:spacing w:after="160"/>
        <w:jc w:val="both"/>
        <w:rPr>
          <w:rFonts w:ascii="Arial" w:eastAsia="Arial" w:hAnsi="Arial" w:cs="Arial"/>
        </w:rPr>
      </w:pPr>
      <w:r>
        <w:rPr>
          <w:rFonts w:ascii="Arial" w:eastAsia="Arial" w:hAnsi="Arial" w:cs="Arial"/>
          <w:i/>
        </w:rPr>
        <w:t xml:space="preserve">Individual consultations </w:t>
      </w:r>
      <w:r>
        <w:rPr>
          <w:rFonts w:ascii="Arial" w:eastAsia="Arial" w:hAnsi="Arial" w:cs="Arial"/>
        </w:rPr>
        <w:t>- this client group present with a range of nutrition-related complications and are typically referred through primary care or within the IAS team. An important aspect of practice within this role is recognising risk as autistic adults who do not have a learning disability are nine times more likely to die from suicide</w:t>
      </w:r>
      <w:r>
        <w:rPr>
          <w:rFonts w:ascii="Arial" w:eastAsia="Arial" w:hAnsi="Arial" w:cs="Arial"/>
          <w:vertAlign w:val="superscript"/>
        </w:rPr>
        <w:t>(3)</w:t>
      </w:r>
      <w:r>
        <w:rPr>
          <w:rFonts w:ascii="Arial" w:eastAsia="Arial" w:hAnsi="Arial" w:cs="Arial"/>
        </w:rPr>
        <w:t>.  This group is more likely to have mental health problems like anxiety and depression</w:t>
      </w:r>
      <w:r>
        <w:rPr>
          <w:rFonts w:ascii="Arial" w:eastAsia="Arial" w:hAnsi="Arial" w:cs="Arial"/>
          <w:vertAlign w:val="superscript"/>
        </w:rPr>
        <w:t>(4)</w:t>
      </w:r>
      <w:r>
        <w:rPr>
          <w:rFonts w:ascii="Arial" w:eastAsia="Arial" w:hAnsi="Arial" w:cs="Arial"/>
        </w:rPr>
        <w:t>; therefore, as a Dietitian it is very important to acknowledge this and to support the individual and the families with coping methods, especially as changing routines and eating behaviours can be challenging and anxiety-provoking. A large proportion of the my caseload will consist of clients who would meet the criteria for Avoidant Restrictive Food Intake Disorder (ARFID</w:t>
      </w:r>
      <w:proofErr w:type="gramStart"/>
      <w:r>
        <w:rPr>
          <w:rFonts w:ascii="Arial" w:eastAsia="Arial" w:hAnsi="Arial" w:cs="Arial"/>
        </w:rPr>
        <w:t>)</w:t>
      </w:r>
      <w:r>
        <w:rPr>
          <w:rFonts w:ascii="Arial" w:eastAsia="Arial" w:hAnsi="Arial" w:cs="Arial"/>
          <w:vertAlign w:val="superscript"/>
        </w:rPr>
        <w:t>(</w:t>
      </w:r>
      <w:proofErr w:type="gramEnd"/>
      <w:r>
        <w:rPr>
          <w:rFonts w:ascii="Arial" w:eastAsia="Arial" w:hAnsi="Arial" w:cs="Arial"/>
          <w:vertAlign w:val="superscript"/>
        </w:rPr>
        <w:t>5)</w:t>
      </w:r>
      <w:r>
        <w:rPr>
          <w:rFonts w:ascii="Arial" w:eastAsia="Arial" w:hAnsi="Arial" w:cs="Arial"/>
        </w:rPr>
        <w:t xml:space="preserve">. This is a relatively new area of work and there are some helpful principles that can be used such as graded exposure or food chaining </w:t>
      </w:r>
      <w:proofErr w:type="gramStart"/>
      <w:r>
        <w:rPr>
          <w:rFonts w:ascii="Arial" w:eastAsia="Arial" w:hAnsi="Arial" w:cs="Arial"/>
        </w:rPr>
        <w:t>methods</w:t>
      </w:r>
      <w:r>
        <w:rPr>
          <w:rFonts w:ascii="Arial" w:eastAsia="Arial" w:hAnsi="Arial" w:cs="Arial"/>
          <w:vertAlign w:val="superscript"/>
        </w:rPr>
        <w:t>(</w:t>
      </w:r>
      <w:proofErr w:type="gramEnd"/>
      <w:r>
        <w:rPr>
          <w:rFonts w:ascii="Arial" w:eastAsia="Arial" w:hAnsi="Arial" w:cs="Arial"/>
          <w:vertAlign w:val="superscript"/>
        </w:rPr>
        <w:t>6)</w:t>
      </w:r>
      <w:r>
        <w:rPr>
          <w:rFonts w:ascii="Arial" w:eastAsia="Arial" w:hAnsi="Arial" w:cs="Arial"/>
        </w:rPr>
        <w:t xml:space="preserve"> to introduce novel foods. However, building a therapeutic relationship- which may take more time compared to a general dietetic clinic- is key to understanding the root cause of the eating issues and then using client-centred strategies to overcome these. Motivational interviewing </w:t>
      </w:r>
      <w:proofErr w:type="gramStart"/>
      <w:r>
        <w:rPr>
          <w:rFonts w:ascii="Arial" w:eastAsia="Arial" w:hAnsi="Arial" w:cs="Arial"/>
        </w:rPr>
        <w:t>principles</w:t>
      </w:r>
      <w:r>
        <w:rPr>
          <w:rFonts w:ascii="Arial" w:eastAsia="Arial" w:hAnsi="Arial" w:cs="Arial"/>
          <w:vertAlign w:val="superscript"/>
        </w:rPr>
        <w:t>(</w:t>
      </w:r>
      <w:proofErr w:type="gramEnd"/>
      <w:r>
        <w:rPr>
          <w:rFonts w:ascii="Arial" w:eastAsia="Arial" w:hAnsi="Arial" w:cs="Arial"/>
          <w:vertAlign w:val="superscript"/>
        </w:rPr>
        <w:t>7)</w:t>
      </w:r>
      <w:r>
        <w:rPr>
          <w:rFonts w:ascii="Arial" w:eastAsia="Arial" w:hAnsi="Arial" w:cs="Arial"/>
        </w:rPr>
        <w:t xml:space="preserve"> and psychoeducation are some methods that can support this relationship. </w:t>
      </w:r>
      <w:r>
        <w:rPr>
          <w:rFonts w:ascii="Arial" w:eastAsia="Arial" w:hAnsi="Arial" w:cs="Arial"/>
          <w:i/>
        </w:rPr>
        <w:t>Spectrum Outcome Stars</w:t>
      </w:r>
      <w:r>
        <w:rPr>
          <w:rFonts w:ascii="Arial" w:eastAsia="Arial" w:hAnsi="Arial" w:cs="Arial"/>
        </w:rPr>
        <w:t xml:space="preserve"> are based on the ‘stages of change model</w:t>
      </w:r>
      <w:proofErr w:type="gramStart"/>
      <w:r>
        <w:rPr>
          <w:rFonts w:ascii="Arial" w:eastAsia="Arial" w:hAnsi="Arial" w:cs="Arial"/>
        </w:rPr>
        <w:t>’</w:t>
      </w:r>
      <w:r>
        <w:rPr>
          <w:rFonts w:ascii="Arial" w:eastAsia="Arial" w:hAnsi="Arial" w:cs="Arial"/>
          <w:vertAlign w:val="superscript"/>
        </w:rPr>
        <w:t>(</w:t>
      </w:r>
      <w:proofErr w:type="gramEnd"/>
      <w:r>
        <w:rPr>
          <w:rFonts w:ascii="Arial" w:eastAsia="Arial" w:hAnsi="Arial" w:cs="Arial"/>
          <w:vertAlign w:val="superscript"/>
        </w:rPr>
        <w:t xml:space="preserve">8) </w:t>
      </w:r>
      <w:r>
        <w:rPr>
          <w:rFonts w:ascii="Arial" w:eastAsia="Arial" w:hAnsi="Arial" w:cs="Arial"/>
        </w:rPr>
        <w:t>and are used within the IAS. They can help shape the focus of the intervention and are used with the clients to evaluate the effectiveness of the service provided</w:t>
      </w:r>
      <w:r>
        <w:rPr>
          <w:rFonts w:ascii="Arial" w:eastAsia="Arial" w:hAnsi="Arial" w:cs="Arial"/>
          <w:vertAlign w:val="superscript"/>
        </w:rPr>
        <w:t xml:space="preserve"> (9)</w:t>
      </w:r>
      <w:r>
        <w:rPr>
          <w:rFonts w:ascii="Arial" w:eastAsia="Arial" w:hAnsi="Arial" w:cs="Arial"/>
        </w:rPr>
        <w:t>.</w:t>
      </w:r>
    </w:p>
    <w:p w14:paraId="2C600AA0" w14:textId="77777777" w:rsidR="006C6664" w:rsidRDefault="006C6664" w:rsidP="006C6664">
      <w:pPr>
        <w:pStyle w:val="Normal1"/>
        <w:spacing w:after="160"/>
        <w:jc w:val="both"/>
        <w:rPr>
          <w:rFonts w:ascii="Arial" w:eastAsia="Arial" w:hAnsi="Arial" w:cs="Arial"/>
        </w:rPr>
      </w:pPr>
      <w:r>
        <w:rPr>
          <w:rFonts w:ascii="Arial" w:eastAsia="Arial" w:hAnsi="Arial" w:cs="Arial"/>
          <w:i/>
        </w:rPr>
        <w:t>Teaching</w:t>
      </w:r>
      <w:r>
        <w:rPr>
          <w:rFonts w:ascii="Arial" w:eastAsia="Arial" w:hAnsi="Arial" w:cs="Arial"/>
        </w:rPr>
        <w:t xml:space="preserve"> - A background in Public Health Dietetics has enabled me to develop and adapt an existing training model Nutrition Skills for </w:t>
      </w:r>
      <w:proofErr w:type="gramStart"/>
      <w:r>
        <w:rPr>
          <w:rFonts w:ascii="Arial" w:eastAsia="Arial" w:hAnsi="Arial" w:cs="Arial"/>
        </w:rPr>
        <w:t>Life</w:t>
      </w:r>
      <w:r>
        <w:rPr>
          <w:rFonts w:ascii="Arial" w:eastAsia="Arial" w:hAnsi="Arial" w:cs="Arial"/>
          <w:vertAlign w:val="superscript"/>
        </w:rPr>
        <w:t>(</w:t>
      </w:r>
      <w:proofErr w:type="gramEnd"/>
      <w:r>
        <w:rPr>
          <w:rFonts w:ascii="Arial" w:eastAsia="Arial" w:hAnsi="Arial" w:cs="Arial"/>
          <w:vertAlign w:val="superscript"/>
        </w:rPr>
        <w:t>™)</w:t>
      </w:r>
      <w:r>
        <w:rPr>
          <w:rFonts w:ascii="Arial" w:eastAsia="Arial" w:hAnsi="Arial" w:cs="Arial"/>
        </w:rPr>
        <w:t xml:space="preserve">. This </w:t>
      </w:r>
      <w:r>
        <w:rPr>
          <w:rFonts w:ascii="Arial" w:eastAsia="Arial" w:hAnsi="Arial" w:cs="Arial"/>
          <w:highlight w:val="white"/>
        </w:rPr>
        <w:t xml:space="preserve">is an all Wales programme of quality assured nutrition skills training and initiatives developed and co-ordinated by dietitians working in the NHS. </w:t>
      </w:r>
      <w:r>
        <w:rPr>
          <w:rFonts w:ascii="Arial" w:eastAsia="Arial" w:hAnsi="Arial" w:cs="Arial"/>
        </w:rPr>
        <w:t>The IAS Community Workers have been trained and achieved a Level 2 Community Food and Nutrition skills accreditation. This training was positively evaluated. The Community Workers have stated that it has given them credibility and confidence in forums, in groups and individual work knowing the advice they are giving is evidence based and not just their own opinions or beliefs.</w:t>
      </w:r>
    </w:p>
    <w:p w14:paraId="2C600AA1" w14:textId="77777777" w:rsidR="006C6664" w:rsidRDefault="006C6664" w:rsidP="006C6664">
      <w:pPr>
        <w:pStyle w:val="Normal1"/>
        <w:spacing w:after="160"/>
        <w:jc w:val="both"/>
        <w:rPr>
          <w:rFonts w:ascii="Arial" w:eastAsia="Arial" w:hAnsi="Arial" w:cs="Arial"/>
        </w:rPr>
      </w:pPr>
      <w:r>
        <w:rPr>
          <w:rFonts w:ascii="Arial" w:eastAsia="Arial" w:hAnsi="Arial" w:cs="Arial"/>
        </w:rPr>
        <w:lastRenderedPageBreak/>
        <w:t>This accreditation and ‘train the trainer’ approach has led to the development of an Agored Cymru accredited entry three level cooking accreditation.   This has been piloted within the IAS, delivered by Community Workers with clients. Initial results were promising around increasing independent living skills as well as increasing confidence and self-esteem within a group setting. The level 2 training has also been delivered to third sector organisations in Cardiff. There is an agreement to signpost the IAS clients who have accessed the cooking group. This agreement will help clients to continue cooking in their own communities, link in with services in their respective areas supporting them to reach Level 1 accreditation.</w:t>
      </w:r>
    </w:p>
    <w:p w14:paraId="2C600AA2" w14:textId="77777777" w:rsidR="006C6664" w:rsidRDefault="006C6664" w:rsidP="006C6664">
      <w:pPr>
        <w:pStyle w:val="Normal1"/>
        <w:spacing w:after="160"/>
        <w:jc w:val="both"/>
        <w:rPr>
          <w:rFonts w:ascii="Arial" w:eastAsia="Arial" w:hAnsi="Arial" w:cs="Arial"/>
        </w:rPr>
      </w:pPr>
    </w:p>
    <w:p w14:paraId="2C600AA3" w14:textId="77777777" w:rsidR="006C6664" w:rsidRDefault="006C6664" w:rsidP="006C6664">
      <w:pPr>
        <w:pStyle w:val="Normal1"/>
        <w:spacing w:after="160"/>
        <w:jc w:val="both"/>
        <w:rPr>
          <w:rFonts w:ascii="Arial" w:eastAsia="Arial" w:hAnsi="Arial" w:cs="Arial"/>
        </w:rPr>
      </w:pPr>
      <w:r>
        <w:rPr>
          <w:rFonts w:ascii="Arial" w:eastAsia="Arial" w:hAnsi="Arial" w:cs="Arial"/>
        </w:rPr>
        <w:t>Consultation – as part of the general population, autistic individuals will be accessing services across the whole health and care sector. I have been keen to support professionals who need help supporting these clients. This helps build skills, understanding and a better experience for autistic individuals and their families. Research shows that anorexia in autism is caused by high levels of anxiety, rigid rule-driven eating and exercising behaviour, sensory problems with food and difficulties sensing hunger</w:t>
      </w:r>
      <w:r>
        <w:rPr>
          <w:rFonts w:ascii="Arial" w:eastAsia="Arial" w:hAnsi="Arial" w:cs="Arial"/>
          <w:vertAlign w:val="superscript"/>
        </w:rPr>
        <w:t xml:space="preserve"> (10)</w:t>
      </w:r>
      <w:r>
        <w:rPr>
          <w:rFonts w:ascii="Arial" w:eastAsia="Arial" w:hAnsi="Arial" w:cs="Arial"/>
        </w:rPr>
        <w:t>. Joint-working with our eating disorder service and setting up peer supervision groups with mental health dietitians has been useful for sharing practice and to better meet the needs of individuals accessing not only these services but also the IAS. Transitioning between services can be an anxious experience, so close working with paediatric and CAMHS dietitians have now been set up between IAS and these departments. </w:t>
      </w:r>
    </w:p>
    <w:p w14:paraId="2C600AA4" w14:textId="77777777" w:rsidR="006C6664" w:rsidRDefault="006C6664" w:rsidP="006C6664">
      <w:pPr>
        <w:pStyle w:val="Normal1"/>
        <w:spacing w:after="160"/>
        <w:jc w:val="both"/>
        <w:rPr>
          <w:rFonts w:ascii="Arial" w:eastAsia="Arial" w:hAnsi="Arial" w:cs="Arial"/>
        </w:rPr>
      </w:pPr>
      <w:r>
        <w:rPr>
          <w:rFonts w:ascii="Arial" w:eastAsia="Arial" w:hAnsi="Arial" w:cs="Arial"/>
          <w:b/>
        </w:rPr>
        <w:t>Future areas of practice for the Dietitian</w:t>
      </w:r>
    </w:p>
    <w:p w14:paraId="2C600AA5" w14:textId="77777777" w:rsidR="006C6664" w:rsidRDefault="006C6664" w:rsidP="006C6664">
      <w:pPr>
        <w:pStyle w:val="Normal1"/>
        <w:spacing w:after="160"/>
        <w:jc w:val="both"/>
        <w:rPr>
          <w:rFonts w:ascii="Arial" w:eastAsia="Arial" w:hAnsi="Arial" w:cs="Arial"/>
        </w:rPr>
      </w:pPr>
      <w:r>
        <w:rPr>
          <w:rFonts w:ascii="Arial" w:eastAsia="Arial" w:hAnsi="Arial" w:cs="Arial"/>
        </w:rPr>
        <w:t xml:space="preserve">As mentioned previously, this is a relatively new area of dietetics and reflecting on current practice has highlighted future areas of work that possibly need to be developed or embedded into practice. Such areas include the new development of a Cognitive Behaviour Therapy for ARFID </w:t>
      </w:r>
      <w:proofErr w:type="gramStart"/>
      <w:r>
        <w:rPr>
          <w:rFonts w:ascii="Arial" w:eastAsia="Arial" w:hAnsi="Arial" w:cs="Arial"/>
        </w:rPr>
        <w:t>model</w:t>
      </w:r>
      <w:r>
        <w:rPr>
          <w:rFonts w:ascii="Arial" w:eastAsia="Arial" w:hAnsi="Arial" w:cs="Arial"/>
          <w:vertAlign w:val="superscript"/>
        </w:rPr>
        <w:t>(</w:t>
      </w:r>
      <w:proofErr w:type="gramEnd"/>
      <w:r>
        <w:rPr>
          <w:rFonts w:ascii="Arial" w:eastAsia="Arial" w:hAnsi="Arial" w:cs="Arial"/>
          <w:vertAlign w:val="superscript"/>
        </w:rPr>
        <w:t>11)</w:t>
      </w:r>
      <w:r>
        <w:rPr>
          <w:rFonts w:ascii="Arial" w:eastAsia="Arial" w:hAnsi="Arial" w:cs="Arial"/>
        </w:rPr>
        <w:t xml:space="preserve"> potentially available in both individual and family-supported versions.  ‘</w:t>
      </w:r>
      <w:proofErr w:type="spellStart"/>
      <w:r>
        <w:rPr>
          <w:rFonts w:ascii="Arial" w:eastAsia="Arial" w:hAnsi="Arial" w:cs="Arial"/>
        </w:rPr>
        <w:t>Interoception</w:t>
      </w:r>
      <w:proofErr w:type="spellEnd"/>
      <w:r>
        <w:rPr>
          <w:rFonts w:ascii="Arial" w:eastAsia="Arial" w:hAnsi="Arial" w:cs="Arial"/>
        </w:rPr>
        <w:t xml:space="preserve">’ </w:t>
      </w:r>
      <w:r>
        <w:rPr>
          <w:rFonts w:ascii="Arial" w:eastAsia="Arial" w:hAnsi="Arial" w:cs="Arial"/>
          <w:highlight w:val="white"/>
        </w:rPr>
        <w:t xml:space="preserve">is one of our senses that provides information about the internal condition of our body.  </w:t>
      </w:r>
      <w:r>
        <w:rPr>
          <w:rFonts w:ascii="Arial" w:eastAsia="Arial" w:hAnsi="Arial" w:cs="Arial"/>
        </w:rPr>
        <w:t xml:space="preserve">We typically find autistic individuals have challenges understanding and making sense of signals and feelings within the body. For example, not recognising hunger cues until they are in a lot of gut pain or finding it difficult to eat meals due to feelings of fullness. Broadening out from a clinical focus to support people with real practical life skills has proven benefits for all populations and as dietitians we have the skills to provide a prudent, holistic </w:t>
      </w:r>
      <w:proofErr w:type="gramStart"/>
      <w:r>
        <w:rPr>
          <w:rFonts w:ascii="Arial" w:eastAsia="Arial" w:hAnsi="Arial" w:cs="Arial"/>
        </w:rPr>
        <w:t>approach</w:t>
      </w:r>
      <w:r>
        <w:rPr>
          <w:rFonts w:ascii="Arial" w:eastAsia="Arial" w:hAnsi="Arial" w:cs="Arial"/>
          <w:vertAlign w:val="superscript"/>
        </w:rPr>
        <w:t>(</w:t>
      </w:r>
      <w:proofErr w:type="gramEnd"/>
      <w:r>
        <w:rPr>
          <w:rFonts w:ascii="Arial" w:eastAsia="Arial" w:hAnsi="Arial" w:cs="Arial"/>
          <w:vertAlign w:val="superscript"/>
        </w:rPr>
        <w:t>12)</w:t>
      </w:r>
      <w:r>
        <w:rPr>
          <w:rFonts w:ascii="Arial" w:eastAsia="Arial" w:hAnsi="Arial" w:cs="Arial"/>
        </w:rPr>
        <w:t>.There has been a real passion for collaborating with professionals and communities working in this area who really want to make a difference within this population group. This approach will be vital for developing practice moving forward.</w:t>
      </w:r>
    </w:p>
    <w:p w14:paraId="2C600AA6" w14:textId="77777777" w:rsidR="006C6664" w:rsidRDefault="006C6664" w:rsidP="006C6664">
      <w:pPr>
        <w:pStyle w:val="Normal1"/>
        <w:rPr>
          <w:rFonts w:ascii="Verdana" w:eastAsia="Verdana" w:hAnsi="Verdana" w:cs="Verdana"/>
          <w:sz w:val="20"/>
          <w:szCs w:val="20"/>
        </w:rPr>
      </w:pPr>
    </w:p>
    <w:p w14:paraId="2C600AA7" w14:textId="77777777" w:rsidR="006C6664" w:rsidRDefault="006C6664" w:rsidP="006C6664">
      <w:pPr>
        <w:pStyle w:val="Normal1"/>
        <w:spacing w:after="160" w:line="259" w:lineRule="auto"/>
        <w:rPr>
          <w:rFonts w:ascii="Arial" w:eastAsia="Arial" w:hAnsi="Arial" w:cs="Arial"/>
        </w:rPr>
      </w:pPr>
      <w:r>
        <w:rPr>
          <w:rFonts w:ascii="Arial" w:eastAsia="Arial" w:hAnsi="Arial" w:cs="Arial"/>
          <w:b/>
        </w:rPr>
        <w:t>References</w:t>
      </w:r>
    </w:p>
    <w:p w14:paraId="2C600AA8" w14:textId="77777777" w:rsidR="006C6664" w:rsidRDefault="006C6664" w:rsidP="006C6664">
      <w:pPr>
        <w:pStyle w:val="Normal1"/>
        <w:numPr>
          <w:ilvl w:val="0"/>
          <w:numId w:val="1"/>
        </w:numPr>
        <w:spacing w:after="160" w:line="259" w:lineRule="auto"/>
        <w:rPr>
          <w:rFonts w:ascii="Arial" w:eastAsia="Arial" w:hAnsi="Arial" w:cs="Arial"/>
        </w:rPr>
      </w:pPr>
      <w:r>
        <w:rPr>
          <w:rFonts w:ascii="Arial" w:eastAsia="Arial" w:hAnsi="Arial" w:cs="Arial"/>
        </w:rPr>
        <w:t>National Autistic Society. What is Autism?.</w:t>
      </w:r>
      <w:r>
        <w:rPr>
          <w:rFonts w:ascii="Arial" w:eastAsia="Arial" w:hAnsi="Arial" w:cs="Arial"/>
          <w:color w:val="4203BF"/>
        </w:rPr>
        <w:t xml:space="preserve"> </w:t>
      </w:r>
      <w:hyperlink r:id="rId8">
        <w:r>
          <w:rPr>
            <w:rFonts w:ascii="Arial" w:eastAsia="Arial" w:hAnsi="Arial" w:cs="Arial"/>
            <w:color w:val="1155CC"/>
            <w:u w:val="single"/>
          </w:rPr>
          <w:t>https://www.autism.org.uk/about/what-is/myths-facts-stats.aspx</w:t>
        </w:r>
      </w:hyperlink>
      <w:r>
        <w:rPr>
          <w:rFonts w:ascii="Arial" w:eastAsia="Arial" w:hAnsi="Arial" w:cs="Arial"/>
        </w:rPr>
        <w:t xml:space="preserve"> </w:t>
      </w:r>
      <w:proofErr w:type="spellStart"/>
      <w:r>
        <w:rPr>
          <w:rFonts w:ascii="Arial" w:eastAsia="Arial" w:hAnsi="Arial" w:cs="Arial"/>
        </w:rPr>
        <w:t>retreived</w:t>
      </w:r>
      <w:proofErr w:type="spellEnd"/>
      <w:r>
        <w:rPr>
          <w:rFonts w:ascii="Arial" w:eastAsia="Arial" w:hAnsi="Arial" w:cs="Arial"/>
        </w:rPr>
        <w:t xml:space="preserve"> 16th July 2020.</w:t>
      </w:r>
    </w:p>
    <w:p w14:paraId="2C600AA9" w14:textId="77777777" w:rsidR="006C6664" w:rsidRDefault="006C6664" w:rsidP="006C6664">
      <w:pPr>
        <w:pStyle w:val="Normal1"/>
        <w:spacing w:after="160" w:line="259" w:lineRule="auto"/>
        <w:rPr>
          <w:rFonts w:ascii="Arial" w:eastAsia="Arial" w:hAnsi="Arial" w:cs="Arial"/>
          <w:b/>
        </w:rPr>
      </w:pPr>
      <w:r>
        <w:rPr>
          <w:rFonts w:ascii="Arial" w:eastAsia="Arial" w:hAnsi="Arial" w:cs="Arial"/>
        </w:rPr>
        <w:t>(2) National Autistic Society. Autism facts and history.</w:t>
      </w:r>
      <w:r>
        <w:rPr>
          <w:rFonts w:ascii="Arial" w:eastAsia="Arial" w:hAnsi="Arial" w:cs="Arial"/>
          <w:color w:val="4203BF"/>
        </w:rPr>
        <w:t xml:space="preserve"> </w:t>
      </w:r>
      <w:hyperlink r:id="rId9">
        <w:r>
          <w:rPr>
            <w:rFonts w:ascii="Arial" w:eastAsia="Arial" w:hAnsi="Arial" w:cs="Arial"/>
            <w:color w:val="1155CC"/>
            <w:u w:val="single"/>
          </w:rPr>
          <w:t>https://www.autism.org.uk/about/what-is/myths-facts-stats.aspx</w:t>
        </w:r>
      </w:hyperlink>
      <w:r>
        <w:rPr>
          <w:rFonts w:ascii="Arial" w:eastAsia="Arial" w:hAnsi="Arial" w:cs="Arial"/>
        </w:rPr>
        <w:t xml:space="preserve"> </w:t>
      </w:r>
      <w:proofErr w:type="spellStart"/>
      <w:r>
        <w:rPr>
          <w:rFonts w:ascii="Arial" w:eastAsia="Arial" w:hAnsi="Arial" w:cs="Arial"/>
        </w:rPr>
        <w:t>retreived</w:t>
      </w:r>
      <w:proofErr w:type="spellEnd"/>
      <w:r>
        <w:rPr>
          <w:rFonts w:ascii="Arial" w:eastAsia="Arial" w:hAnsi="Arial" w:cs="Arial"/>
        </w:rPr>
        <w:t xml:space="preserve"> 16th July 2020.</w:t>
      </w:r>
    </w:p>
    <w:p w14:paraId="2C600AAA" w14:textId="77777777" w:rsidR="006C6664" w:rsidRDefault="006C6664" w:rsidP="006C6664">
      <w:pPr>
        <w:pStyle w:val="Normal1"/>
        <w:spacing w:after="160" w:line="259" w:lineRule="auto"/>
        <w:rPr>
          <w:rFonts w:ascii="Arial" w:eastAsia="Arial" w:hAnsi="Arial" w:cs="Arial"/>
        </w:rPr>
      </w:pPr>
      <w:r>
        <w:rPr>
          <w:rFonts w:ascii="Arial" w:eastAsia="Arial" w:hAnsi="Arial" w:cs="Arial"/>
        </w:rPr>
        <w:lastRenderedPageBreak/>
        <w:t>(</w:t>
      </w:r>
      <w:proofErr w:type="gramStart"/>
      <w:r>
        <w:rPr>
          <w:rFonts w:ascii="Arial" w:eastAsia="Arial" w:hAnsi="Arial" w:cs="Arial"/>
        </w:rPr>
        <w:t>3)</w:t>
      </w:r>
      <w:proofErr w:type="spellStart"/>
      <w:r>
        <w:rPr>
          <w:rFonts w:ascii="Arial" w:eastAsia="Arial" w:hAnsi="Arial" w:cs="Arial"/>
        </w:rPr>
        <w:t>Hirvikoski</w:t>
      </w:r>
      <w:proofErr w:type="spellEnd"/>
      <w:proofErr w:type="gramEnd"/>
      <w:r>
        <w:rPr>
          <w:rFonts w:ascii="Arial" w:eastAsia="Arial" w:hAnsi="Arial" w:cs="Arial"/>
        </w:rPr>
        <w:t xml:space="preserve">, T. et al. (2015). Premature mortality in autism spectrum disorder. The </w:t>
      </w:r>
      <w:r>
        <w:rPr>
          <w:rFonts w:ascii="Arial" w:eastAsia="Arial" w:hAnsi="Arial" w:cs="Arial"/>
          <w:i/>
        </w:rPr>
        <w:t>British Journal of Psychiatry</w:t>
      </w:r>
      <w:r>
        <w:rPr>
          <w:rFonts w:ascii="Arial" w:eastAsia="Arial" w:hAnsi="Arial" w:cs="Arial"/>
        </w:rPr>
        <w:t xml:space="preserve">, 207(5). </w:t>
      </w:r>
    </w:p>
    <w:p w14:paraId="2C600AAB"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(4) </w:t>
      </w:r>
      <w:proofErr w:type="spellStart"/>
      <w:r>
        <w:rPr>
          <w:rFonts w:ascii="Arial" w:eastAsia="Arial" w:hAnsi="Arial" w:cs="Arial"/>
        </w:rPr>
        <w:t>Croen</w:t>
      </w:r>
      <w:proofErr w:type="spellEnd"/>
      <w:r>
        <w:rPr>
          <w:rFonts w:ascii="Arial" w:eastAsia="Arial" w:hAnsi="Arial" w:cs="Arial"/>
        </w:rPr>
        <w:t xml:space="preserve">, L.A., </w:t>
      </w:r>
      <w:proofErr w:type="spellStart"/>
      <w:r>
        <w:rPr>
          <w:rFonts w:ascii="Arial" w:eastAsia="Arial" w:hAnsi="Arial" w:cs="Arial"/>
        </w:rPr>
        <w:t>Zerbo</w:t>
      </w:r>
      <w:proofErr w:type="spellEnd"/>
      <w:r>
        <w:rPr>
          <w:rFonts w:ascii="Arial" w:eastAsia="Arial" w:hAnsi="Arial" w:cs="Arial"/>
        </w:rPr>
        <w:t xml:space="preserve">, O., </w:t>
      </w:r>
      <w:proofErr w:type="spellStart"/>
      <w:proofErr w:type="gramStart"/>
      <w:r>
        <w:rPr>
          <w:rFonts w:ascii="Arial" w:eastAsia="Arial" w:hAnsi="Arial" w:cs="Arial"/>
        </w:rPr>
        <w:t>Qian,Y</w:t>
      </w:r>
      <w:proofErr w:type="spellEnd"/>
      <w:r>
        <w:rPr>
          <w:rFonts w:ascii="Arial" w:eastAsia="Arial" w:hAnsi="Arial" w:cs="Arial"/>
        </w:rPr>
        <w:t>.</w:t>
      </w:r>
      <w:proofErr w:type="gramEnd"/>
      <w:r>
        <w:rPr>
          <w:rFonts w:ascii="Arial" w:eastAsia="Arial" w:hAnsi="Arial" w:cs="Arial"/>
        </w:rPr>
        <w:t xml:space="preserve"> et al.(2015). The health status of adults on the autism spectrum. </w:t>
      </w:r>
      <w:r>
        <w:rPr>
          <w:rFonts w:ascii="Arial" w:eastAsia="Arial" w:hAnsi="Arial" w:cs="Arial"/>
          <w:i/>
        </w:rPr>
        <w:t>Autism</w:t>
      </w:r>
      <w:r>
        <w:rPr>
          <w:rFonts w:ascii="Arial" w:eastAsia="Arial" w:hAnsi="Arial" w:cs="Arial"/>
        </w:rPr>
        <w:t xml:space="preserve"> 2015; 19:814–823.</w:t>
      </w:r>
    </w:p>
    <w:p w14:paraId="2C600AAC" w14:textId="77777777" w:rsidR="006C6664" w:rsidRDefault="006C6664" w:rsidP="006C6664">
      <w:pPr>
        <w:pStyle w:val="Normal1"/>
        <w:spacing w:after="160" w:line="259" w:lineRule="auto"/>
        <w:rPr>
          <w:rFonts w:ascii="Arial" w:eastAsia="Arial" w:hAnsi="Arial" w:cs="Arial"/>
        </w:rPr>
      </w:pPr>
      <w:r>
        <w:rPr>
          <w:rFonts w:ascii="Arial" w:eastAsia="Arial" w:hAnsi="Arial" w:cs="Arial"/>
          <w:highlight w:val="white"/>
        </w:rPr>
        <w:t xml:space="preserve">(5) American Psychiatric Association. (2013). </w:t>
      </w:r>
      <w:r>
        <w:rPr>
          <w:rFonts w:ascii="Arial" w:eastAsia="Arial" w:hAnsi="Arial" w:cs="Arial"/>
          <w:i/>
          <w:highlight w:val="white"/>
        </w:rPr>
        <w:t xml:space="preserve">Diagnostic and Statistical Manual of Mental Disorders. </w:t>
      </w:r>
      <w:proofErr w:type="gramStart"/>
      <w:r>
        <w:rPr>
          <w:rFonts w:ascii="Arial" w:eastAsia="Arial" w:hAnsi="Arial" w:cs="Arial"/>
          <w:i/>
          <w:highlight w:val="white"/>
        </w:rPr>
        <w:t>( 5</w:t>
      </w:r>
      <w:proofErr w:type="gramEnd"/>
      <w:r>
        <w:rPr>
          <w:rFonts w:ascii="Arial" w:eastAsia="Arial" w:hAnsi="Arial" w:cs="Arial"/>
          <w:i/>
          <w:highlight w:val="white"/>
        </w:rPr>
        <w:t>th Edition)</w:t>
      </w:r>
      <w:r>
        <w:rPr>
          <w:rFonts w:ascii="Arial" w:eastAsia="Arial" w:hAnsi="Arial" w:cs="Arial"/>
          <w:highlight w:val="white"/>
        </w:rPr>
        <w:t>. Washington, DC.</w:t>
      </w:r>
    </w:p>
    <w:p w14:paraId="2C600AAD"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(6) </w:t>
      </w:r>
      <w:proofErr w:type="spellStart"/>
      <w:r>
        <w:rPr>
          <w:rFonts w:ascii="Arial" w:eastAsia="Arial" w:hAnsi="Arial" w:cs="Arial"/>
        </w:rPr>
        <w:t>Fraker</w:t>
      </w:r>
      <w:proofErr w:type="spellEnd"/>
      <w:r>
        <w:rPr>
          <w:rFonts w:ascii="Arial" w:eastAsia="Arial" w:hAnsi="Arial" w:cs="Arial"/>
        </w:rPr>
        <w:t xml:space="preserve">, C. et al. (2009). </w:t>
      </w:r>
      <w:r>
        <w:rPr>
          <w:rFonts w:ascii="Arial" w:eastAsia="Arial" w:hAnsi="Arial" w:cs="Arial"/>
          <w:i/>
        </w:rPr>
        <w:t>Food Chaining: The Proven 6-Step Plan to Stop Picky Eating, Solve Feeding Problems, and Expand Your Child's Diet.</w:t>
      </w:r>
      <w:r>
        <w:rPr>
          <w:rFonts w:ascii="Arial" w:eastAsia="Arial" w:hAnsi="Arial" w:cs="Arial"/>
        </w:rPr>
        <w:t xml:space="preserve"> </w:t>
      </w:r>
      <w:proofErr w:type="spellStart"/>
      <w:proofErr w:type="gramStart"/>
      <w:r>
        <w:rPr>
          <w:rFonts w:ascii="Arial" w:eastAsia="Arial" w:hAnsi="Arial" w:cs="Arial"/>
        </w:rPr>
        <w:t>London:Hachette</w:t>
      </w:r>
      <w:proofErr w:type="spellEnd"/>
      <w:proofErr w:type="gramEnd"/>
      <w:r>
        <w:rPr>
          <w:rFonts w:ascii="Arial" w:eastAsia="Arial" w:hAnsi="Arial" w:cs="Arial"/>
        </w:rPr>
        <w:t xml:space="preserve"> Books.</w:t>
      </w:r>
    </w:p>
    <w:p w14:paraId="2C600AAE"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(7) Miller, W. R., &amp; Rollnick, </w:t>
      </w:r>
      <w:proofErr w:type="gramStart"/>
      <w:r>
        <w:rPr>
          <w:rFonts w:ascii="Arial" w:eastAsia="Arial" w:hAnsi="Arial" w:cs="Arial"/>
        </w:rPr>
        <w:t>S.(</w:t>
      </w:r>
      <w:proofErr w:type="gramEnd"/>
      <w:r>
        <w:rPr>
          <w:rFonts w:ascii="Arial" w:eastAsia="Arial" w:hAnsi="Arial" w:cs="Arial"/>
        </w:rPr>
        <w:t xml:space="preserve">2013). </w:t>
      </w:r>
      <w:r>
        <w:rPr>
          <w:rFonts w:ascii="Arial" w:eastAsia="Arial" w:hAnsi="Arial" w:cs="Arial"/>
          <w:i/>
        </w:rPr>
        <w:t>Motivational interviewing: helping people change</w:t>
      </w:r>
      <w:r>
        <w:rPr>
          <w:rFonts w:ascii="Arial" w:eastAsia="Arial" w:hAnsi="Arial" w:cs="Arial"/>
        </w:rPr>
        <w:t xml:space="preserve">. Applications of motivational interviewing (3rd ed.). New York: </w:t>
      </w:r>
      <w:hyperlink r:id="rId10">
        <w:r>
          <w:rPr>
            <w:rFonts w:ascii="Arial" w:eastAsia="Arial" w:hAnsi="Arial" w:cs="Arial"/>
          </w:rPr>
          <w:t>Guilford Press</w:t>
        </w:r>
      </w:hyperlink>
      <w:r>
        <w:rPr>
          <w:rFonts w:ascii="Arial" w:eastAsia="Arial" w:hAnsi="Arial" w:cs="Arial"/>
        </w:rPr>
        <w:t>.</w:t>
      </w:r>
    </w:p>
    <w:p w14:paraId="2C600AAF" w14:textId="77777777" w:rsidR="006C6664" w:rsidRDefault="006C6664" w:rsidP="006C6664">
      <w:pPr>
        <w:pStyle w:val="Normal1"/>
        <w:spacing w:after="160" w:line="259" w:lineRule="auto"/>
        <w:rPr>
          <w:rFonts w:ascii="Arial" w:eastAsia="Arial" w:hAnsi="Arial" w:cs="Arial"/>
        </w:rPr>
      </w:pPr>
      <w:r>
        <w:rPr>
          <w:rFonts w:ascii="Arial" w:eastAsia="Arial" w:hAnsi="Arial" w:cs="Arial"/>
          <w:highlight w:val="white"/>
        </w:rPr>
        <w:t xml:space="preserve">(8) Prochaska, J. O., &amp; DiClemente, C. C. (1983). Stages and processes of self-change of smoking: Toward an integrative model of change. </w:t>
      </w:r>
      <w:r>
        <w:rPr>
          <w:rFonts w:ascii="Arial" w:eastAsia="Arial" w:hAnsi="Arial" w:cs="Arial"/>
          <w:i/>
          <w:highlight w:val="white"/>
        </w:rPr>
        <w:t>Journal of Consulting and Clinical Psychology, 51</w:t>
      </w:r>
      <w:r>
        <w:rPr>
          <w:rFonts w:ascii="Arial" w:eastAsia="Arial" w:hAnsi="Arial" w:cs="Arial"/>
          <w:highlight w:val="white"/>
        </w:rPr>
        <w:t xml:space="preserve">(3), 390–395. </w:t>
      </w:r>
    </w:p>
    <w:p w14:paraId="2C600AB0"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(9) Outcomes </w:t>
      </w:r>
      <w:proofErr w:type="gramStart"/>
      <w:r>
        <w:rPr>
          <w:rFonts w:ascii="Arial" w:eastAsia="Arial" w:hAnsi="Arial" w:cs="Arial"/>
        </w:rPr>
        <w:t>Star</w:t>
      </w:r>
      <w:r>
        <w:rPr>
          <w:rFonts w:ascii="Arial" w:eastAsia="Arial" w:hAnsi="Arial" w:cs="Arial"/>
          <w:vertAlign w:val="superscript"/>
        </w:rPr>
        <w:t>(</w:t>
      </w:r>
      <w:proofErr w:type="gramEnd"/>
      <w:r>
        <w:rPr>
          <w:rFonts w:ascii="Arial" w:eastAsia="Arial" w:hAnsi="Arial" w:cs="Arial"/>
          <w:vertAlign w:val="superscript"/>
        </w:rPr>
        <w:t xml:space="preserve">™) </w:t>
      </w:r>
      <w:r>
        <w:rPr>
          <w:rFonts w:ascii="Arial" w:eastAsia="Arial" w:hAnsi="Arial" w:cs="Arial"/>
        </w:rPr>
        <w:t xml:space="preserve">Copyright © 2020 Triangle Consulting Social Enterprise Limited. All rights reserved. </w:t>
      </w:r>
      <w:hyperlink r:id="rId11">
        <w:r>
          <w:rPr>
            <w:rFonts w:ascii="Arial" w:eastAsia="Arial" w:hAnsi="Arial" w:cs="Arial"/>
            <w:color w:val="0563C1"/>
            <w:u w:val="single"/>
          </w:rPr>
          <w:t>https://www.outcomesstar.org.uk/</w:t>
        </w:r>
      </w:hyperlink>
      <w:r>
        <w:rPr>
          <w:rFonts w:ascii="Arial" w:eastAsia="Arial" w:hAnsi="Arial" w:cs="Arial"/>
        </w:rPr>
        <w:t xml:space="preserve"> retrieved 16th July 2020.</w:t>
      </w:r>
    </w:p>
    <w:p w14:paraId="2C600AB1"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(10) </w:t>
      </w:r>
      <w:proofErr w:type="spellStart"/>
      <w:r>
        <w:rPr>
          <w:rFonts w:ascii="Arial" w:eastAsia="Arial" w:hAnsi="Arial" w:cs="Arial"/>
        </w:rPr>
        <w:t>Autistica</w:t>
      </w:r>
      <w:proofErr w:type="spellEnd"/>
      <w:r>
        <w:rPr>
          <w:rFonts w:ascii="Arial" w:eastAsia="Arial" w:hAnsi="Arial" w:cs="Arial"/>
        </w:rPr>
        <w:t xml:space="preserve">.  Treating anorexia in autistic women. </w:t>
      </w:r>
      <w:hyperlink r:id="rId12">
        <w:r>
          <w:rPr>
            <w:rFonts w:ascii="Arial" w:eastAsia="Arial" w:hAnsi="Arial" w:cs="Arial"/>
            <w:color w:val="1155CC"/>
            <w:u w:val="single"/>
          </w:rPr>
          <w:t>https://www.autistica.org.uk/our-research/research-projects/treating-anorexia-in-autistic-women</w:t>
        </w:r>
      </w:hyperlink>
      <w:r>
        <w:rPr>
          <w:rFonts w:ascii="Arial" w:eastAsia="Arial" w:hAnsi="Arial" w:cs="Arial"/>
          <w:sz w:val="22"/>
          <w:szCs w:val="22"/>
        </w:rPr>
        <w:t xml:space="preserve"> </w:t>
      </w:r>
      <w:r>
        <w:rPr>
          <w:rFonts w:ascii="Arial" w:eastAsia="Arial" w:hAnsi="Arial" w:cs="Arial"/>
        </w:rPr>
        <w:t>retrieved 16th July 2020.</w:t>
      </w:r>
    </w:p>
    <w:p w14:paraId="2C600AB2" w14:textId="77777777" w:rsidR="006C6664" w:rsidRDefault="006C6664" w:rsidP="006C6664">
      <w:pPr>
        <w:pStyle w:val="Normal1"/>
        <w:spacing w:after="160" w:line="259" w:lineRule="auto"/>
        <w:rPr>
          <w:rFonts w:ascii="Arial" w:eastAsia="Arial" w:hAnsi="Arial" w:cs="Arial"/>
          <w:color w:val="303030"/>
          <w:highlight w:val="white"/>
        </w:rPr>
      </w:pPr>
      <w:r>
        <w:rPr>
          <w:rFonts w:ascii="Arial" w:eastAsia="Arial" w:hAnsi="Arial" w:cs="Arial"/>
        </w:rPr>
        <w:t xml:space="preserve">(11) </w:t>
      </w:r>
      <w:r>
        <w:rPr>
          <w:rFonts w:ascii="Arial" w:eastAsia="Arial" w:hAnsi="Arial" w:cs="Arial"/>
          <w:color w:val="303030"/>
          <w:highlight w:val="white"/>
        </w:rPr>
        <w:t xml:space="preserve">Thomas, J. J., </w:t>
      </w:r>
      <w:proofErr w:type="spellStart"/>
      <w:r>
        <w:rPr>
          <w:rFonts w:ascii="Arial" w:eastAsia="Arial" w:hAnsi="Arial" w:cs="Arial"/>
          <w:color w:val="303030"/>
          <w:highlight w:val="white"/>
        </w:rPr>
        <w:t>Wons</w:t>
      </w:r>
      <w:proofErr w:type="spellEnd"/>
      <w:r>
        <w:rPr>
          <w:rFonts w:ascii="Arial" w:eastAsia="Arial" w:hAnsi="Arial" w:cs="Arial"/>
          <w:color w:val="303030"/>
          <w:highlight w:val="white"/>
        </w:rPr>
        <w:t>, O. B., &amp; Eddy, K. T. (2018). Cognitive-</w:t>
      </w:r>
      <w:proofErr w:type="spellStart"/>
      <w:r>
        <w:rPr>
          <w:rFonts w:ascii="Arial" w:eastAsia="Arial" w:hAnsi="Arial" w:cs="Arial"/>
          <w:color w:val="303030"/>
          <w:highlight w:val="white"/>
        </w:rPr>
        <w:t>behavioral</w:t>
      </w:r>
      <w:proofErr w:type="spellEnd"/>
      <w:r>
        <w:rPr>
          <w:rFonts w:ascii="Arial" w:eastAsia="Arial" w:hAnsi="Arial" w:cs="Arial"/>
          <w:color w:val="303030"/>
          <w:highlight w:val="white"/>
        </w:rPr>
        <w:t xml:space="preserve"> treatment of avoidant/restrictive food intake disorder. </w:t>
      </w:r>
      <w:r>
        <w:rPr>
          <w:rFonts w:ascii="Arial" w:eastAsia="Arial" w:hAnsi="Arial" w:cs="Arial"/>
          <w:i/>
          <w:color w:val="303030"/>
          <w:highlight w:val="white"/>
        </w:rPr>
        <w:t>Current opinion in psychiatry</w:t>
      </w:r>
      <w:r>
        <w:rPr>
          <w:rFonts w:ascii="Arial" w:eastAsia="Arial" w:hAnsi="Arial" w:cs="Arial"/>
          <w:color w:val="303030"/>
          <w:highlight w:val="white"/>
        </w:rPr>
        <w:t xml:space="preserve">, </w:t>
      </w:r>
      <w:r>
        <w:rPr>
          <w:rFonts w:ascii="Arial" w:eastAsia="Arial" w:hAnsi="Arial" w:cs="Arial"/>
          <w:i/>
          <w:color w:val="303030"/>
          <w:highlight w:val="white"/>
        </w:rPr>
        <w:t>31</w:t>
      </w:r>
      <w:r>
        <w:rPr>
          <w:rFonts w:ascii="Arial" w:eastAsia="Arial" w:hAnsi="Arial" w:cs="Arial"/>
          <w:color w:val="303030"/>
          <w:highlight w:val="white"/>
        </w:rPr>
        <w:t xml:space="preserve">(6), 425–430. </w:t>
      </w:r>
      <w:hyperlink r:id="rId13">
        <w:r>
          <w:rPr>
            <w:rFonts w:ascii="Arial" w:eastAsia="Arial" w:hAnsi="Arial" w:cs="Arial"/>
            <w:color w:val="1155CC"/>
            <w:highlight w:val="white"/>
            <w:u w:val="single"/>
          </w:rPr>
          <w:t>https://doi.org/10.1097/YCO.0000000000000454</w:t>
        </w:r>
      </w:hyperlink>
    </w:p>
    <w:p w14:paraId="2C600AB3" w14:textId="77777777" w:rsidR="006C6664" w:rsidRDefault="006C6664" w:rsidP="006C6664">
      <w:pPr>
        <w:pStyle w:val="Normal1"/>
        <w:spacing w:after="160" w:line="259" w:lineRule="auto"/>
        <w:rPr>
          <w:rFonts w:ascii="Arial" w:eastAsia="Arial" w:hAnsi="Arial" w:cs="Arial"/>
          <w:color w:val="303030"/>
          <w:sz w:val="20"/>
          <w:szCs w:val="20"/>
          <w:highlight w:val="white"/>
        </w:rPr>
      </w:pPr>
    </w:p>
    <w:p w14:paraId="2C600AB4" w14:textId="77777777" w:rsidR="006C6664" w:rsidRDefault="006C6664" w:rsidP="006C6664">
      <w:pPr>
        <w:pStyle w:val="Normal1"/>
        <w:spacing w:after="160" w:line="259" w:lineRule="auto"/>
        <w:rPr>
          <w:rFonts w:ascii="Arial" w:eastAsia="Arial" w:hAnsi="Arial" w:cs="Arial"/>
        </w:rPr>
      </w:pPr>
      <w:r>
        <w:rPr>
          <w:rFonts w:ascii="Arial" w:eastAsia="Arial" w:hAnsi="Arial" w:cs="Arial"/>
        </w:rPr>
        <w:t xml:space="preserve">(12) Goldschmidt. J., Song. H.J. (2015). At-Risk and Underserved: A Proposed Role for Nutrition in the Adult Trajectory of Autism. </w:t>
      </w:r>
      <w:r>
        <w:rPr>
          <w:rFonts w:ascii="Arial" w:eastAsia="Arial" w:hAnsi="Arial" w:cs="Arial"/>
          <w:i/>
        </w:rPr>
        <w:t xml:space="preserve">J </w:t>
      </w:r>
      <w:proofErr w:type="spellStart"/>
      <w:r>
        <w:rPr>
          <w:rFonts w:ascii="Arial" w:eastAsia="Arial" w:hAnsi="Arial" w:cs="Arial"/>
          <w:i/>
        </w:rPr>
        <w:t>Acad</w:t>
      </w:r>
      <w:proofErr w:type="spellEnd"/>
      <w:r>
        <w:rPr>
          <w:rFonts w:ascii="Arial" w:eastAsia="Arial" w:hAnsi="Arial" w:cs="Arial"/>
          <w:i/>
        </w:rPr>
        <w:t xml:space="preserve"> </w:t>
      </w:r>
      <w:proofErr w:type="spellStart"/>
      <w:r>
        <w:rPr>
          <w:rFonts w:ascii="Arial" w:eastAsia="Arial" w:hAnsi="Arial" w:cs="Arial"/>
          <w:i/>
        </w:rPr>
        <w:t>Nutr</w:t>
      </w:r>
      <w:proofErr w:type="spellEnd"/>
      <w:r>
        <w:rPr>
          <w:rFonts w:ascii="Arial" w:eastAsia="Arial" w:hAnsi="Arial" w:cs="Arial"/>
          <w:i/>
        </w:rPr>
        <w:t xml:space="preserve"> Diet. </w:t>
      </w:r>
      <w:r>
        <w:rPr>
          <w:rFonts w:ascii="Arial" w:eastAsia="Arial" w:hAnsi="Arial" w:cs="Arial"/>
        </w:rPr>
        <w:t>2015;115(7):1041-1047.</w:t>
      </w:r>
    </w:p>
    <w:p w14:paraId="2C600AB5" w14:textId="77777777" w:rsidR="006C6664" w:rsidRDefault="006C6664" w:rsidP="006C6664">
      <w:pPr>
        <w:pStyle w:val="Normal1"/>
        <w:rPr>
          <w:rFonts w:ascii="Verdana" w:eastAsia="Verdana" w:hAnsi="Verdana" w:cs="Verdana"/>
          <w:sz w:val="20"/>
          <w:szCs w:val="20"/>
        </w:rPr>
      </w:pPr>
    </w:p>
    <w:p w14:paraId="2C600AB6" w14:textId="77777777" w:rsidR="00151278" w:rsidRDefault="00151278"/>
    <w:sectPr w:rsidR="00151278" w:rsidSect="00CE70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E732E5"/>
    <w:multiLevelType w:val="multilevel"/>
    <w:tmpl w:val="74A2E5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664"/>
    <w:rsid w:val="000901A1"/>
    <w:rsid w:val="00151278"/>
    <w:rsid w:val="00241351"/>
    <w:rsid w:val="00255847"/>
    <w:rsid w:val="00262256"/>
    <w:rsid w:val="002807F5"/>
    <w:rsid w:val="005E1BAB"/>
    <w:rsid w:val="005F2BC2"/>
    <w:rsid w:val="006C6664"/>
    <w:rsid w:val="0087356E"/>
    <w:rsid w:val="00AF7674"/>
    <w:rsid w:val="00CE7089"/>
    <w:rsid w:val="00F91D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00A98"/>
  <w15:docId w15:val="{5CC405A4-6E7F-490D-B79A-1394C5FD3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08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6C6664"/>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7378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utism.org.uk/about/what-is/myths-facts-stats.aspx" TargetMode="External"/><Relationship Id="rId13" Type="http://schemas.openxmlformats.org/officeDocument/2006/relationships/hyperlink" Target="https://doi.org/10.1097/YCO.0000000000000454"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utistica.org.uk/our-research/research-projects/treating-anorexia-in-autistic-wome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utcomesstar.org.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en.wikipedia.org/wiki/Guilford_Press" TargetMode="External"/><Relationship Id="rId4" Type="http://schemas.openxmlformats.org/officeDocument/2006/relationships/numbering" Target="numbering.xml"/><Relationship Id="rId9" Type="http://schemas.openxmlformats.org/officeDocument/2006/relationships/hyperlink" Target="https://www.autism.org.uk/about/what-is/myths-facts-stats.asp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6C7BF33-C542-4BB9-B15A-FF5A2C25A5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00A2FD-97F4-430B-9568-7932E754D5A7}">
  <ds:schemaRefs>
    <ds:schemaRef ds:uri="http://schemas.microsoft.com/sharepoint/v3/contenttype/forms"/>
  </ds:schemaRefs>
</ds:datastoreItem>
</file>

<file path=customXml/itemProps3.xml><?xml version="1.0" encoding="utf-8"?>
<ds:datastoreItem xmlns:ds="http://schemas.openxmlformats.org/officeDocument/2006/customXml" ds:itemID="{0E0D1090-7910-4CC1-BACA-895D730F68B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1400</Words>
  <Characters>7984</Characters>
  <Application>Microsoft Office Word</Application>
  <DocSecurity>0</DocSecurity>
  <Lines>66</Lines>
  <Paragraphs>18</Paragraphs>
  <ScaleCrop>false</ScaleCrop>
  <Company>CVUHB</Company>
  <LinksUpToDate>false</LinksUpToDate>
  <CharactersWithSpaces>9366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ke094310</dc:creator>
  <cp:lastModifiedBy>Rachel Mooney (HEIW)</cp:lastModifiedBy>
  <cp:revision>6</cp:revision>
  <dcterms:created xsi:type="dcterms:W3CDTF">2022-01-26T12:19:00Z</dcterms:created>
  <dcterms:modified xsi:type="dcterms:W3CDTF">2022-01-26T21:29:00Z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