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CB3C8" w14:textId="305AFFFE" w:rsidR="0015139C" w:rsidRDefault="0015139C">
      <w:r w:rsidRPr="006A2C0C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6F4C99" wp14:editId="2E1B889E">
                <wp:simplePos x="0" y="0"/>
                <wp:positionH relativeFrom="margin">
                  <wp:align>left</wp:align>
                </wp:positionH>
                <wp:positionV relativeFrom="paragraph">
                  <wp:posOffset>6350</wp:posOffset>
                </wp:positionV>
                <wp:extent cx="6078931" cy="353060"/>
                <wp:effectExtent l="0" t="0" r="17145" b="279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931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5408C6" w14:textId="77777777" w:rsidR="0015139C" w:rsidRPr="0015139C" w:rsidRDefault="0015139C" w:rsidP="0015139C">
                            <w:pPr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15139C"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Levels 1 and 2a Oral Surgery Curriculum </w:t>
                            </w:r>
                          </w:p>
                          <w:p w14:paraId="55890A84" w14:textId="78457331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D0303F2" w14:textId="07BB35BB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409001B" w14:textId="77777777" w:rsidR="00B3492B" w:rsidRPr="006A2C0C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C6F4C99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0;margin-top:.5pt;width:478.65pt;height:27.8pt;z-index:251658240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735408C6" w14:textId="77777777" w:rsidR="0015139C" w:rsidRPr="0015139C" w:rsidRDefault="0015139C" w:rsidP="0015139C">
                      <w:pPr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15139C"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  <w:t xml:space="preserve">Levels 1 and 2a Oral Surgery Curriculum </w:t>
                      </w:r>
                    </w:p>
                    <w:p w14:paraId="55890A84" w14:textId="78457331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4D0303F2" w14:textId="07BB35BB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3409001B" w14:textId="77777777" w:rsidR="00B3492B" w:rsidRPr="006A2C0C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1C6F034" w14:textId="77777777" w:rsidR="0015139C" w:rsidRPr="0015139C" w:rsidRDefault="0015139C" w:rsidP="0015139C">
      <w:pPr>
        <w:rPr>
          <w:rStyle w:val="normaltextrun"/>
          <w:rFonts w:ascii="Arial" w:hAnsi="Arial" w:cs="Arial"/>
          <w:sz w:val="24"/>
          <w:szCs w:val="24"/>
        </w:rPr>
      </w:pPr>
    </w:p>
    <w:p w14:paraId="12FDA560" w14:textId="7ACF2CAF" w:rsidR="3AFE4386" w:rsidRDefault="3AFE4386" w:rsidP="0025506E">
      <w:pPr>
        <w:spacing w:line="269" w:lineRule="auto"/>
        <w:ind w:left="10" w:hanging="1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The following list of OS procedure types, complexity levels and venues have been </w:t>
      </w:r>
      <w:r w:rsidR="00C0275B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taken from the </w:t>
      </w:r>
      <w:r w:rsidR="0025506E" w:rsidRPr="0025506E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>All-Wales Oral Surgery Referral Handbook for General Dental Practitioners 2021</w:t>
      </w:r>
      <w:r w:rsidR="008E2C55"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  <w:t xml:space="preserve"> Version 1.5</w:t>
      </w:r>
      <w:r w:rsidR="0025506E">
        <w:rPr>
          <w:rFonts w:ascii="Calibri" w:eastAsia="Calibri" w:hAnsi="Calibri" w:cs="Calibri"/>
          <w:color w:val="000000" w:themeColor="text1"/>
          <w:sz w:val="24"/>
          <w:szCs w:val="24"/>
        </w:rPr>
        <w:t>. This document was</w:t>
      </w:r>
      <w:r w:rsidR="0025506E" w:rsidRPr="0025506E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formulated following feedback from Wales O</w:t>
      </w:r>
      <w:r w:rsidR="3B743C8E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ral 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S</w:t>
      </w:r>
      <w:r w:rsidR="0D195D43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urgery Managed Clinical Networks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="73AAECF9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(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MCNs</w:t>
      </w:r>
      <w:r w:rsidR="270FA9CD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)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, </w:t>
      </w:r>
      <w:r w:rsidR="2531D5F1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Local Dental Committees (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LDCs</w:t>
      </w:r>
      <w:r w:rsidR="1E69F067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)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and the Welsh Dental Committee.</w:t>
      </w:r>
      <w:r w:rsidR="009D09D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For specific </w:t>
      </w:r>
      <w:r w:rsidR="008C7D1A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case </w:t>
      </w:r>
      <w:r w:rsidR="009D09D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examples please consult the </w:t>
      </w:r>
      <w:r w:rsidR="008C7D1A">
        <w:rPr>
          <w:rFonts w:ascii="Calibri" w:eastAsia="Calibri" w:hAnsi="Calibri" w:cs="Calibri"/>
          <w:color w:val="000000" w:themeColor="text1"/>
          <w:sz w:val="24"/>
          <w:szCs w:val="24"/>
        </w:rPr>
        <w:t>Handbook</w:t>
      </w:r>
      <w:r w:rsidR="009D09D3">
        <w:rPr>
          <w:rFonts w:ascii="Calibri" w:eastAsia="Calibri" w:hAnsi="Calibri" w:cs="Calibri"/>
          <w:color w:val="000000" w:themeColor="text1"/>
          <w:sz w:val="24"/>
          <w:szCs w:val="24"/>
        </w:rPr>
        <w:t>.</w:t>
      </w:r>
    </w:p>
    <w:p w14:paraId="78BE1C3C" w14:textId="340A0B8D" w:rsidR="3AFE4386" w:rsidRDefault="3AFE4386" w:rsidP="6CD79FE3">
      <w:pPr>
        <w:spacing w:line="269" w:lineRule="auto"/>
        <w:ind w:left="10" w:hanging="10"/>
        <w:rPr>
          <w:rFonts w:ascii="Calibri" w:eastAsia="Calibri" w:hAnsi="Calibri" w:cs="Calibri"/>
          <w:color w:val="000000" w:themeColor="text1"/>
          <w:sz w:val="24"/>
          <w:szCs w:val="24"/>
        </w:rPr>
      </w:pPr>
      <w:r w:rsidRPr="6CD79FE3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These </w:t>
      </w:r>
      <w:r w:rsidR="6DF5A2EF" w:rsidRPr="6CD79FE3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 xml:space="preserve">lists </w:t>
      </w:r>
      <w:r w:rsidRPr="6CD79FE3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are for guidance and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Pr="6CD79FE3">
        <w:rPr>
          <w:rFonts w:ascii="Calibri" w:eastAsia="Calibri" w:hAnsi="Calibri" w:cs="Calibri"/>
          <w:b/>
          <w:bCs/>
          <w:color w:val="000000" w:themeColor="text1"/>
          <w:sz w:val="24"/>
          <w:szCs w:val="24"/>
        </w:rPr>
        <w:t>are not meant to be prescriptive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. Deviation from this guidance may be appropriate if circumstances allow, for example</w:t>
      </w:r>
      <w:r w:rsidR="65B48EFE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: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closure of an oro-antral communication/fistula in general dental practice undertaken by a </w:t>
      </w:r>
      <w:r w:rsidR="29A6232D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Level 1 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primary care practitioner competent in undertaking such procedures</w:t>
      </w:r>
      <w:r w:rsidR="2A3797E0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>;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or a Level 3 procedure undertaken by an OS/OMFS consultant in an intermediate </w:t>
      </w:r>
      <w:r w:rsidR="5605E49A"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or </w:t>
      </w:r>
      <w:r w:rsidRPr="6CD79FE3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care setting.  </w:t>
      </w:r>
    </w:p>
    <w:p w14:paraId="43C3CAC5" w14:textId="78A74B4B" w:rsidR="001B64E4" w:rsidRPr="00CA5907" w:rsidRDefault="00CA5907" w:rsidP="6CD79FE3">
      <w:pPr>
        <w:spacing w:line="266" w:lineRule="auto"/>
        <w:ind w:left="10" w:hanging="10"/>
        <w:rPr>
          <w:rFonts w:ascii="Calibri" w:eastAsia="Calibri" w:hAnsi="Calibri" w:cs="Calibri"/>
          <w:color w:val="000000" w:themeColor="text1"/>
          <w:sz w:val="24"/>
          <w:szCs w:val="24"/>
        </w:rPr>
      </w:pP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In Wales, 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Level 2</w:t>
      </w:r>
      <w:r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care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has been separated into </w:t>
      </w:r>
      <w:r w:rsidR="5055D113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Level 2A</w:t>
      </w:r>
      <w:r w:rsidR="3E2A722B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:</w:t>
      </w:r>
      <w:r w:rsidR="5055D113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Intermediate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</w:t>
      </w:r>
      <w:r w:rsidR="0076410A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Care </w:t>
      </w:r>
      <w:r w:rsidR="033D2BD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(suitable for </w:t>
      </w:r>
      <w:r w:rsidR="0076410A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a </w:t>
      </w:r>
      <w:r w:rsidR="033D2BD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Dentist with Enhanced Skills)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and </w:t>
      </w:r>
      <w:r w:rsidR="7BA8AE53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Level 2B: S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pecialist </w:t>
      </w:r>
      <w:r w:rsidR="0076410A">
        <w:rPr>
          <w:rFonts w:ascii="Calibri" w:eastAsia="Calibri" w:hAnsi="Calibri" w:cs="Calibri"/>
          <w:color w:val="000000" w:themeColor="text1"/>
          <w:sz w:val="24"/>
          <w:szCs w:val="24"/>
        </w:rPr>
        <w:t>C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are</w:t>
      </w:r>
      <w:r w:rsidR="00A10B2C">
        <w:rPr>
          <w:rFonts w:ascii="Calibri" w:eastAsia="Calibri" w:hAnsi="Calibri" w:cs="Calibri"/>
          <w:color w:val="000000" w:themeColor="text1"/>
          <w:sz w:val="24"/>
          <w:szCs w:val="24"/>
        </w:rPr>
        <w:t>,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to adequately reflect the scope of treatments provided </w:t>
      </w:r>
      <w:r w:rsidR="02B1BB9F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by </w:t>
      </w:r>
      <w:r w:rsidR="030DD965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DES</w:t>
      </w:r>
      <w:r w:rsidR="32AD560E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practitioners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and OS specialist services in primary care. However, the scope of treatments provided </w:t>
      </w:r>
      <w:r w:rsidR="0335EDC1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by any clinician 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will depend on </w:t>
      </w:r>
      <w:r w:rsidR="330F7850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>their contractual agreements</w:t>
      </w:r>
      <w:r w:rsidR="3AFE4386" w:rsidRPr="00CA5907">
        <w:rPr>
          <w:rFonts w:ascii="Calibri" w:eastAsia="Calibri" w:hAnsi="Calibri" w:cs="Calibri"/>
          <w:color w:val="000000" w:themeColor="text1"/>
          <w:sz w:val="24"/>
          <w:szCs w:val="24"/>
        </w:rPr>
        <w:t xml:space="preserve"> and level of experience.</w:t>
      </w:r>
    </w:p>
    <w:p w14:paraId="6F7F3935" w14:textId="77777777" w:rsidR="001D20EB" w:rsidRDefault="001D20EB" w:rsidP="6CD79FE3">
      <w:pPr>
        <w:spacing w:line="266" w:lineRule="auto"/>
        <w:ind w:left="10" w:hanging="10"/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</w:pPr>
    </w:p>
    <w:tbl>
      <w:tblPr>
        <w:tblW w:w="9640" w:type="dxa"/>
        <w:tblInd w:w="-294" w:type="dxa"/>
        <w:tblLayout w:type="fixed"/>
        <w:tblLook w:val="04A0" w:firstRow="1" w:lastRow="0" w:firstColumn="1" w:lastColumn="0" w:noHBand="0" w:noVBand="1"/>
      </w:tblPr>
      <w:tblGrid>
        <w:gridCol w:w="3119"/>
        <w:gridCol w:w="2552"/>
        <w:gridCol w:w="992"/>
        <w:gridCol w:w="992"/>
        <w:gridCol w:w="993"/>
        <w:gridCol w:w="992"/>
      </w:tblGrid>
      <w:tr w:rsidR="00BF6207" w14:paraId="31249B33" w14:textId="77777777" w:rsidTr="00C86839">
        <w:trPr>
          <w:trHeight w:val="599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vAlign w:val="center"/>
          </w:tcPr>
          <w:p w14:paraId="336A625E" w14:textId="5E6395D5" w:rsidR="00BF6207" w:rsidRDefault="001B64E4">
            <w:r>
              <w:rPr>
                <w:rFonts w:ascii="Calibri" w:eastAsia="Calibri" w:hAnsi="Calibri" w:cs="Calibri"/>
                <w:i/>
                <w:iCs/>
                <w:color w:val="000000" w:themeColor="text1"/>
                <w:sz w:val="24"/>
                <w:szCs w:val="24"/>
              </w:rPr>
              <w:br w:type="page"/>
            </w:r>
            <w:r w:rsidR="000C6081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Level of Service</w:t>
            </w:r>
            <w:r w:rsidR="00824EA1">
              <w:rPr>
                <w:rFonts w:ascii="Calibri" w:eastAsia="Calibri" w:hAnsi="Calibri" w:cs="Calibri"/>
                <w:b/>
                <w:bCs/>
                <w:color w:val="000000" w:themeColor="text1"/>
              </w:rPr>
              <w:t>: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5DAFB51B" w14:textId="585CE06B" w:rsidR="00BF6207" w:rsidRDefault="00BF6207" w:rsidP="00EA6CE7">
            <w:pPr>
              <w:spacing w:line="257" w:lineRule="auto"/>
              <w:jc w:val="center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Level 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65DC67B7" w14:textId="15C32882" w:rsidR="00BF6207" w:rsidRDefault="00BF6207" w:rsidP="00EA6CE7">
            <w:pPr>
              <w:spacing w:line="257" w:lineRule="auto"/>
              <w:jc w:val="center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Level 2a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3ECA17CF" w14:textId="16F391AC" w:rsidR="00BF6207" w:rsidRDefault="00BF6207" w:rsidP="00EA6CE7">
            <w:pPr>
              <w:spacing w:line="257" w:lineRule="auto"/>
              <w:jc w:val="center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Level 2b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30BBF6A" w14:textId="21092065" w:rsidR="00BF6207" w:rsidRDefault="00BF6207" w:rsidP="00EA6CE7">
            <w:pPr>
              <w:spacing w:line="257" w:lineRule="auto"/>
              <w:jc w:val="center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Levels 3a and 3b</w:t>
            </w:r>
          </w:p>
        </w:tc>
      </w:tr>
      <w:tr w:rsidR="00E312D0" w14:paraId="79BE01C3" w14:textId="77777777" w:rsidTr="00C86839">
        <w:trPr>
          <w:cantSplit/>
          <w:trHeight w:val="1929"/>
        </w:trPr>
        <w:tc>
          <w:tcPr>
            <w:tcW w:w="567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6D424311" w14:textId="381739F5" w:rsidR="00E312D0" w:rsidRDefault="00E312D0" w:rsidP="6CD79FE3">
            <w:pPr>
              <w:spacing w:line="257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Anticipated </w:t>
            </w:r>
            <w:r w:rsidR="00BF6207">
              <w:rPr>
                <w:rFonts w:ascii="Calibri" w:eastAsia="Calibri" w:hAnsi="Calibri" w:cs="Calibri"/>
                <w:b/>
                <w:bCs/>
                <w:color w:val="000000" w:themeColor="text1"/>
              </w:rPr>
              <w:t>Performer</w:t>
            </w:r>
            <w:r w:rsidR="00824EA1">
              <w:rPr>
                <w:rFonts w:ascii="Calibri" w:eastAsia="Calibri" w:hAnsi="Calibri" w:cs="Calibri"/>
                <w:b/>
                <w:bCs/>
                <w:color w:val="000000" w:themeColor="text1"/>
              </w:rPr>
              <w:t>: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530616A8" w14:textId="1F9B59DD" w:rsidR="00E312D0" w:rsidRDefault="00E312D0" w:rsidP="003143CB">
            <w:pPr>
              <w:spacing w:line="257" w:lineRule="auto"/>
              <w:ind w:left="113" w:right="113"/>
              <w:jc w:val="center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All General Dental</w:t>
            </w:r>
            <w:r w:rsidR="001B64E4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Practitioners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1A0533D7" w14:textId="64E01EFF" w:rsidR="00E312D0" w:rsidRDefault="00E312D0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Oral Surgery </w:t>
            </w: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DES Practitioners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276C6FE3" w14:textId="58525D11" w:rsidR="00E312D0" w:rsidRDefault="00E312D0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Specialist Oral Surgeon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7F0CC2DC" w14:textId="4889F478" w:rsidR="00E312D0" w:rsidRDefault="00E312D0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Consultant Led Care</w:t>
            </w:r>
          </w:p>
        </w:tc>
      </w:tr>
      <w:tr w:rsidR="00BF6207" w14:paraId="79B41DBF" w14:textId="77777777" w:rsidTr="00C86839">
        <w:trPr>
          <w:cantSplit/>
          <w:trHeight w:val="2086"/>
        </w:trPr>
        <w:tc>
          <w:tcPr>
            <w:tcW w:w="5671" w:type="dxa"/>
            <w:gridSpan w:val="2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6CF493F2" w14:textId="6FB6B952" w:rsidR="00BF6207" w:rsidRDefault="00BF6207" w:rsidP="6CD79FE3">
            <w:pPr>
              <w:spacing w:line="257" w:lineRule="auto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>
              <w:rPr>
                <w:rFonts w:ascii="Calibri" w:eastAsia="Calibri" w:hAnsi="Calibri" w:cs="Calibri"/>
                <w:b/>
                <w:bCs/>
                <w:color w:val="000000" w:themeColor="text1"/>
              </w:rPr>
              <w:t>Anticipated Setting: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4A1BE483" w14:textId="0E65097E" w:rsidR="00BF6207" w:rsidRDefault="00BF6207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Primary Care Setting</w:t>
            </w:r>
          </w:p>
        </w:tc>
        <w:tc>
          <w:tcPr>
            <w:tcW w:w="992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5B85C8C7" w14:textId="70F09124" w:rsidR="00BF6207" w:rsidRDefault="00BF6207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Primary Care Setting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41E68B22" w14:textId="0CADB44C" w:rsidR="00BF6207" w:rsidRDefault="00BF6207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Primary Care Setting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textDirection w:val="btLr"/>
            <w:vAlign w:val="center"/>
          </w:tcPr>
          <w:p w14:paraId="603ACF08" w14:textId="34686493" w:rsidR="00BF6207" w:rsidRDefault="00BF6207" w:rsidP="003143CB">
            <w:pPr>
              <w:spacing w:line="257" w:lineRule="auto"/>
              <w:ind w:left="113" w:right="113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</w:rPr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Secondary Care Setting e.g. Hospital</w:t>
            </w:r>
          </w:p>
        </w:tc>
      </w:tr>
      <w:tr w:rsidR="00824EA1" w14:paraId="794B046A" w14:textId="77777777" w:rsidTr="00246C54">
        <w:trPr>
          <w:trHeight w:val="309"/>
        </w:trPr>
        <w:tc>
          <w:tcPr>
            <w:tcW w:w="9640" w:type="dxa"/>
            <w:gridSpan w:val="6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484E276B" w14:textId="27B7899E" w:rsidR="00824EA1" w:rsidRPr="00CA5907" w:rsidRDefault="00824EA1" w:rsidP="00EA6CE7">
            <w:pPr>
              <w:spacing w:line="257" w:lineRule="auto"/>
              <w:jc w:val="center"/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</w:pPr>
            <w:r w:rsidRPr="00CA5907">
              <w:rPr>
                <w:rFonts w:ascii="Calibri" w:eastAsia="Calibri" w:hAnsi="Calibri" w:cs="Calibri"/>
                <w:b/>
                <w:bCs/>
                <w:i/>
                <w:iCs/>
                <w:color w:val="000000" w:themeColor="text1"/>
              </w:rPr>
              <w:t>Procedure Type and Subtype</w:t>
            </w:r>
          </w:p>
        </w:tc>
      </w:tr>
      <w:tr w:rsidR="6CD79FE3" w14:paraId="17338C87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0B37B812" w14:textId="3BF2950F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Management and </w:t>
            </w:r>
          </w:p>
          <w:p w14:paraId="37CFD994" w14:textId="4E0412B4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lastRenderedPageBreak/>
              <w:t xml:space="preserve">extraction of erupted tooth/teeth </w:t>
            </w:r>
          </w:p>
        </w:tc>
        <w:tc>
          <w:tcPr>
            <w:tcW w:w="2552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5F618E05" w14:textId="7A558A6E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lastRenderedPageBreak/>
              <w:t xml:space="preserve">All procedures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9BE783E" w14:textId="65EA9C8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0F42D69B" w14:textId="3A49335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D87E7E7" w14:textId="242F9B6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4A937F0" w14:textId="762175E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384EA13D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2AB641BB" w14:textId="44724382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>Management and extraction of erupted uncomplicated third molars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37EC3762" w14:textId="431FF57E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All procedures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B929532" w14:textId="68B1C73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1060E7BE" w14:textId="6823C48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2C9478E5" w14:textId="45ADF58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70EFBB9C" w14:textId="28CCECC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2084D820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565809D6" w14:textId="466FDB36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Surgical removal of teeth or roots (including uncomplicated third molars) likely to: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3D57217D" w14:textId="3FBACE0D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Involve soft tissue only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7540FE3" w14:textId="1DA08F2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05097685" w14:textId="6A6ED4A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77ADCF58" w14:textId="33A5E5F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640F2274" w14:textId="5AE93FD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3C473A49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152E8FC9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42E4D420" w14:textId="0F81E201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Involve division and/or bone removal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2778A667" w14:textId="6A46178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6B39C987" w14:textId="6A0EC77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0C70C60B" w14:textId="05DCDFB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7E8848B" w14:textId="6B7CB52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2CFAA861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3E03F143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1125C831" w14:textId="59C6FB9D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Be close (within 2mm on x-ray) to maxillary antrum 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0550EBE4" w14:textId="1566C5D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0AFF88BD" w14:textId="67899A0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356158A" w14:textId="3E7ABA7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3D3FF51B" w14:textId="20344EF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1419FB0A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2268AB47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0E9C4AC0" w14:textId="36EB0414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Involve a palatal or lingual approach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789EB9B0" w14:textId="6EF376C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10BA8BD6" w14:textId="13CBB4F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06BE90A1" w14:textId="23B03C6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1AB5A0A7" w14:textId="6EA7BEA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231AF238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0CEBE1DE" w14:textId="77777777" w:rsidR="008F700B" w:rsidRDefault="008F700B" w:rsidP="00F314CF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top w:w="165" w:type="dxa"/>
              <w:left w:w="105" w:type="dxa"/>
              <w:right w:w="79" w:type="dxa"/>
            </w:tcMar>
            <w:vAlign w:val="center"/>
          </w:tcPr>
          <w:p w14:paraId="6A888DAC" w14:textId="0E2FB4C1" w:rsidR="6CD79FE3" w:rsidRDefault="6CD79FE3" w:rsidP="00F314CF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Involve unerupted ectopic or supernumerary teeth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top w:w="165" w:type="dxa"/>
              <w:left w:w="105" w:type="dxa"/>
              <w:right w:w="79" w:type="dxa"/>
            </w:tcMar>
            <w:vAlign w:val="center"/>
          </w:tcPr>
          <w:p w14:paraId="63E63AEB" w14:textId="157D3D0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top w:w="165" w:type="dxa"/>
              <w:left w:w="105" w:type="dxa"/>
              <w:right w:w="79" w:type="dxa"/>
            </w:tcMar>
            <w:vAlign w:val="center"/>
          </w:tcPr>
          <w:p w14:paraId="2BD933ED" w14:textId="4B2C0BE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284916F6" w14:textId="78B5B05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top w:w="165" w:type="dxa"/>
              <w:left w:w="105" w:type="dxa"/>
              <w:right w:w="79" w:type="dxa"/>
            </w:tcMar>
            <w:vAlign w:val="center"/>
          </w:tcPr>
          <w:p w14:paraId="42DFB330" w14:textId="43F6F23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1ED03D54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A19D2A9" w14:textId="594A6FA3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Closure of oro-antral communication or fistula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0A7AE68" w14:textId="4494DA62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Without antral access for tooth or root retrieval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776040B" w14:textId="49D2D0A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B4380EE" w14:textId="77607D4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35CDA0E8" w14:textId="1B273B0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B182375" w14:textId="0CF8A0F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1D940541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47F16F37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6D12739" w14:textId="7F1F5CD8" w:rsidR="6CD79FE3" w:rsidRDefault="6CD79FE3" w:rsidP="00246C54">
            <w:pPr>
              <w:spacing w:line="240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With antral access for tooth or root </w:t>
            </w:r>
          </w:p>
          <w:p w14:paraId="31E34372" w14:textId="54FFAA3A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retrieval, e.g., Caldwell Luc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272B2F8" w14:textId="7B3B591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55F1F4B6" w14:textId="73BC33D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DD56CA8" w14:textId="267ED3B4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03A61D3" w14:textId="3297D52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51084FA4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4E3A9ED0" w14:textId="33974280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Surgical removal of impacted third molar likely to: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049E9AC" w14:textId="06F1EC4E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Involve soft tissue only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71D5B65" w14:textId="535BEAC3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19B6930" w14:textId="26AA595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55756B5" w14:textId="4D2F415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BF857D6" w14:textId="663191E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49BB080A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7A51AA59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FFED9A0" w14:textId="082B2246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Involve bone removal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E7535CA" w14:textId="5A6843C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5C1CF10" w14:textId="5FB037F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0E735CF" w14:textId="4B008B77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7567A92" w14:textId="4B0EE5E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1A490106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4EB2824D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5CB1934" w14:textId="7C77581F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Involve tooth or root division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951D36F" w14:textId="1421AF7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2122639" w14:textId="0E1782A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F86A96A" w14:textId="3BBF3EB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A792BEF" w14:textId="69B8A89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16C6F28B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418DBC9" w14:textId="76C9C2AA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Coronectomy of third molar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58005F0" w14:textId="26AAB22D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All procedures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095DF71A" w14:textId="27965BD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48B149AC" w14:textId="399B37A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6D1A5D2" w14:textId="34473E5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7FAE03F" w14:textId="7DFC498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35530074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808A2DB" w14:textId="5E04418B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Procedures involving hard or soft tissue likely to compromise major nerves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F3E88A9" w14:textId="410B2161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All procedures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9E23087" w14:textId="24F4245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3C53B29" w14:textId="6ED84BF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11B44AF" w14:textId="2FA181E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3186DE28" w14:textId="3E3B333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1729CB6A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808F4D4" w14:textId="2CBE45A8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Removal of supernumerary teeth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7D305DB7" w14:textId="7681B3AE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Erupted requiring simple extraction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33F1F7F" w14:textId="76A49B5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Y</w:t>
            </w: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4602B7D7" w14:textId="1172769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15B7499" w14:textId="4F366C6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D45E1D5" w14:textId="57C4EA7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3DB45640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373736F5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0C45E16" w14:textId="17503E25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Unerupted/ impacted/ ectopic requiring surgical extraction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5A01D7B2" w14:textId="7C7C880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DBA6C1B" w14:textId="3DCCBBD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B396512" w14:textId="4CF5945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19AB799" w14:textId="01DD107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0E33E34A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07B99C25" w14:textId="3F99B517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lastRenderedPageBreak/>
              <w:t xml:space="preserve">Surgical exposure of tooth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7901F7F2" w14:textId="5DAF8D5E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Buccal/labial approach +/- bonding of orthodontic bracket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0000B4A4" w14:textId="6070B39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5AFF972D" w14:textId="6AA8403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F7CBCF0" w14:textId="4E5A4012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F1F58B0" w14:textId="1955954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2EC7DA3B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58C7C0A2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C5EC4F7" w14:textId="73105FA0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Palatal approach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8EFD398" w14:textId="1D94127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7E637DEF" w14:textId="77006C8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29CB9917" w14:textId="0422E462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4BAED50" w14:textId="57ED04F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244C8F0A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E28D72E" w14:textId="04DA22EC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Enucleation of cysts of jaw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D4602E7" w14:textId="096187B2" w:rsidR="6CD79FE3" w:rsidRDefault="6CD79FE3" w:rsidP="00DF4FF2">
            <w:pPr>
              <w:spacing w:line="240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Non-suspicious radicular (periapical) cysts not likely to compromise major nerves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F011D6B" w14:textId="2F91490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72DD46BC" w14:textId="4771C79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2A6A567" w14:textId="3B31D40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AC15C5D" w14:textId="49677C3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6F676ECB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28CD3B2B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35259E0" w14:textId="0543472A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Odontogenic and non-odontogenic cysts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530D2A3" w14:textId="2FE5C7F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3CC296D" w14:textId="140F3E7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7C0BBA7" w14:textId="00BA4D0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F516C89" w14:textId="7D31C97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4C4BC20F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4C23047" w14:textId="490B41A5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Apicectomy of tooth *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2B656BC5" w14:textId="25F749C9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Single-rooted anterior teeth where root canal is adequately obturated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F530928" w14:textId="1EE24F7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C4A8F5B" w14:textId="7E56A5A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C036460" w14:textId="01BB2CD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2C5F183B" w14:textId="4DD70FC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520E8DE2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848DBA2" w14:textId="6075CB60" w:rsidR="6CD79FE3" w:rsidRDefault="6CD79FE3" w:rsidP="00DF4FF2">
            <w:pPr>
              <w:spacing w:line="238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>Excision of nonsuspicious lesion of oral soft tissues (See All-Wales Oral</w:t>
            </w:r>
            <w:r w:rsidR="00F314CF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Medicine Referral Guide)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001857AD" w14:textId="54C8E0BB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>For example, apparent denture</w:t>
            </w:r>
            <w:r w:rsidR="001D20EB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induced hyperplasia, fibro-epithelial polyp, mucocele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3B73D1B7" w14:textId="5F7E416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1342600" w14:textId="221A120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BCB1172" w14:textId="1E0A5DC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0CC3F8E" w14:textId="75B0B80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09E7F130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1B48E49" w14:textId="53CFACF7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TMJD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B50AA87" w14:textId="57DEAB4D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Initial management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EBA18AE" w14:textId="3EABBEA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5663BED" w14:textId="6EA4AE7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5CED23C" w14:textId="17296632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D22420D" w14:textId="594071E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050000BE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3DCE37C3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41B7BFC9" w14:textId="55CE54FE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Management that has not responded to simple interventions or meets modifying factors for referral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B85E1E6" w14:textId="191D9F4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28E16F85" w14:textId="495AD4F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FA0E7BC" w14:textId="6C2F244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3636F031" w14:textId="232DFC3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4B5ACF8F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0F88E140" w14:textId="09056FE1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Understand and assist in early referral of patients with possible pre-malignant or malignant lesions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E0EC463" w14:textId="4EB3BFAF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All conditions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E2A2100" w14:textId="7BD4C09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7B1D03A6" w14:textId="2B8881C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CAD5185" w14:textId="7F72855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B296CCB" w14:textId="789D4FA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65CEFB57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FFB0BA7" w14:textId="27A640DB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Management of dental trauma including reimplantation of avulsed tooth/teeth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EA0B8ED" w14:textId="339117AB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All conditions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25B91B3E" w14:textId="7B94C43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64569703" w14:textId="209ED94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328CD7A" w14:textId="048910C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45BE976" w14:textId="1440C7C8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22C11519" w14:textId="77777777" w:rsidTr="00C86839">
        <w:trPr>
          <w:trHeight w:val="20"/>
        </w:trPr>
        <w:tc>
          <w:tcPr>
            <w:tcW w:w="3119" w:type="dxa"/>
            <w:vMerge w:val="restart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BA44CB6" w14:textId="72E76511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>Drainage of</w:t>
            </w:r>
            <w:r w:rsidR="00F314CF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dentoalveolar abscess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35823F2E" w14:textId="4C207232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Intra-oral approach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1CB87D6" w14:textId="30CCC32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077A80D1" w14:textId="3023FE55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630FA3E4" w14:textId="29D8D91E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576E743" w14:textId="6C8AC79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08AEDAA0" w14:textId="77777777" w:rsidTr="00C86839">
        <w:trPr>
          <w:trHeight w:val="20"/>
        </w:trPr>
        <w:tc>
          <w:tcPr>
            <w:tcW w:w="3119" w:type="dxa"/>
            <w:vMerge/>
            <w:tcBorders>
              <w:left w:val="single" w:sz="0" w:space="0" w:color="000000" w:themeColor="text1"/>
              <w:bottom w:val="single" w:sz="0" w:space="0" w:color="000000" w:themeColor="text1"/>
              <w:right w:val="single" w:sz="0" w:space="0" w:color="000000" w:themeColor="text1"/>
            </w:tcBorders>
            <w:vAlign w:val="center"/>
          </w:tcPr>
          <w:p w14:paraId="5C608A45" w14:textId="77777777" w:rsidR="008F700B" w:rsidRDefault="008F700B" w:rsidP="00246C54"/>
        </w:tc>
        <w:tc>
          <w:tcPr>
            <w:tcW w:w="2552" w:type="dxa"/>
            <w:tcBorders>
              <w:top w:val="single" w:sz="8" w:space="0" w:color="000000" w:themeColor="text1"/>
              <w:left w:val="nil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61C92A68" w14:textId="4EED4164" w:rsidR="6CD79FE3" w:rsidRDefault="6CD79FE3" w:rsidP="00246C54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Extra-oral approach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7C9DF9B4" w14:textId="04D522F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063551A" w14:textId="3F826AD0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E0B43F2" w14:textId="686C718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51F9C22C" w14:textId="1A51DD9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</w:tr>
      <w:tr w:rsidR="6CD79FE3" w14:paraId="795F6CA6" w14:textId="77777777" w:rsidTr="00C86839">
        <w:trPr>
          <w:trHeight w:val="20"/>
        </w:trPr>
        <w:tc>
          <w:tcPr>
            <w:tcW w:w="3119" w:type="dxa"/>
            <w:tcBorders>
              <w:top w:val="nil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F3C08F4" w14:textId="3241013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Management of haemorrhage following tooth/teeth extraction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5D50BA7C" w14:textId="12E06D6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All conditions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494E854F" w14:textId="36BB54F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EDA009A" w14:textId="787FA4E9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48C8D1FE" w14:textId="45BB4D8A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08707E87" w14:textId="67608D6B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 </w:t>
            </w:r>
          </w:p>
        </w:tc>
      </w:tr>
      <w:tr w:rsidR="6CD79FE3" w14:paraId="07DC35ED" w14:textId="77777777" w:rsidTr="00C86839">
        <w:trPr>
          <w:trHeight w:val="20"/>
        </w:trPr>
        <w:tc>
          <w:tcPr>
            <w:tcW w:w="3119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3CB8A06" w14:textId="16611AB2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Placement of an uncomplicated dental implant in accordance with NHS protocols </w:t>
            </w:r>
          </w:p>
        </w:tc>
        <w:tc>
          <w:tcPr>
            <w:tcW w:w="255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tcMar>
              <w:left w:w="105" w:type="dxa"/>
              <w:right w:w="73" w:type="dxa"/>
            </w:tcMar>
            <w:vAlign w:val="center"/>
          </w:tcPr>
          <w:p w14:paraId="157EC6D1" w14:textId="46F12DF6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color w:val="000000" w:themeColor="text1"/>
              </w:rPr>
              <w:t xml:space="preserve">All procedures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C5E0B3" w:themeFill="accent6" w:themeFillTint="66"/>
            <w:tcMar>
              <w:left w:w="105" w:type="dxa"/>
              <w:right w:w="73" w:type="dxa"/>
            </w:tcMar>
            <w:vAlign w:val="center"/>
          </w:tcPr>
          <w:p w14:paraId="6DE51257" w14:textId="02A2277D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FD961"/>
            <w:tcMar>
              <w:left w:w="105" w:type="dxa"/>
              <w:right w:w="73" w:type="dxa"/>
            </w:tcMar>
            <w:vAlign w:val="center"/>
          </w:tcPr>
          <w:p w14:paraId="1BFDD58D" w14:textId="6D0A4AEF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3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15EE1A7B" w14:textId="38E7D7DC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 xml:space="preserve">Y </w:t>
            </w:r>
          </w:p>
        </w:tc>
        <w:tc>
          <w:tcPr>
            <w:tcW w:w="992" w:type="dxa"/>
            <w:tcBorders>
              <w:top w:val="single" w:sz="8" w:space="0" w:color="000000" w:themeColor="text1"/>
              <w:left w:val="single" w:sz="8" w:space="0" w:color="000000" w:themeColor="text1"/>
              <w:bottom w:val="single" w:sz="8" w:space="0" w:color="000000" w:themeColor="text1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105" w:type="dxa"/>
              <w:right w:w="73" w:type="dxa"/>
            </w:tcMar>
            <w:vAlign w:val="center"/>
          </w:tcPr>
          <w:p w14:paraId="76CEBD27" w14:textId="3A5866B1" w:rsidR="6CD79FE3" w:rsidRDefault="6CD79FE3" w:rsidP="6CD79FE3">
            <w:pPr>
              <w:spacing w:line="257" w:lineRule="auto"/>
            </w:pPr>
            <w:r w:rsidRPr="6CD79FE3">
              <w:rPr>
                <w:rFonts w:ascii="Calibri" w:eastAsia="Calibri" w:hAnsi="Calibri" w:cs="Calibri"/>
                <w:b/>
                <w:bCs/>
                <w:color w:val="000000" w:themeColor="text1"/>
              </w:rPr>
              <w:t>Y</w:t>
            </w:r>
          </w:p>
        </w:tc>
      </w:tr>
    </w:tbl>
    <w:p w14:paraId="08FDBB8C" w14:textId="5B5D9FA1" w:rsidR="6CD79FE3" w:rsidRDefault="6CD79FE3" w:rsidP="6CD79FE3">
      <w:pPr>
        <w:spacing w:line="266" w:lineRule="auto"/>
        <w:ind w:left="10" w:hanging="10"/>
        <w:rPr>
          <w:rFonts w:ascii="Calibri" w:eastAsia="Calibri" w:hAnsi="Calibri" w:cs="Calibri"/>
          <w:i/>
          <w:iCs/>
          <w:color w:val="000000" w:themeColor="text1"/>
          <w:sz w:val="24"/>
          <w:szCs w:val="24"/>
        </w:rPr>
      </w:pPr>
    </w:p>
    <w:p w14:paraId="3696C7C4" w14:textId="77777777" w:rsidR="0015139C" w:rsidRPr="0015139C" w:rsidRDefault="0015139C" w:rsidP="0015139C">
      <w:pPr>
        <w:rPr>
          <w:rStyle w:val="normaltextrun"/>
          <w:rFonts w:ascii="Arial" w:hAnsi="Arial" w:cs="Arial"/>
          <w:sz w:val="24"/>
          <w:szCs w:val="24"/>
        </w:rPr>
      </w:pPr>
    </w:p>
    <w:p w14:paraId="35A98D2D" w14:textId="1EDEB1B1" w:rsidR="0015139C" w:rsidRPr="0015139C" w:rsidRDefault="00AA7F24" w:rsidP="0015139C">
      <w:pPr>
        <w:rPr>
          <w:rStyle w:val="normaltextrun"/>
          <w:rFonts w:ascii="Arial" w:hAnsi="Arial" w:cs="Arial"/>
          <w:sz w:val="24"/>
          <w:szCs w:val="24"/>
        </w:rPr>
      </w:pPr>
      <w:r w:rsidRPr="006A2C0C">
        <w:rPr>
          <w:rFonts w:ascii="Verdana" w:hAnsi="Verdana" w:cs="Arial"/>
          <w:noProof/>
          <w:sz w:val="24"/>
          <w:szCs w:val="24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73881005" wp14:editId="27CDB7F9">
                <wp:simplePos x="0" y="0"/>
                <wp:positionH relativeFrom="margin">
                  <wp:align>left</wp:align>
                </wp:positionH>
                <wp:positionV relativeFrom="paragraph">
                  <wp:posOffset>287655</wp:posOffset>
                </wp:positionV>
                <wp:extent cx="6078855" cy="514350"/>
                <wp:effectExtent l="0" t="0" r="17145" b="190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855" cy="51435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3AFF202" w14:textId="6ABB6396" w:rsidR="00AA7F24" w:rsidRPr="0015139C" w:rsidRDefault="00AA7F24" w:rsidP="00AA7F24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15139C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Oral Surgery Level 2a indicative supporting competencies (for information – Ref: </w:t>
                            </w:r>
                            <w:r w:rsidRPr="0015139C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Gateway number: 08479)</w:t>
                            </w:r>
                          </w:p>
                          <w:p w14:paraId="6BCF73D9" w14:textId="7FE40C5E" w:rsidR="00AA7F24" w:rsidRPr="0015139C" w:rsidRDefault="00AA7F24" w:rsidP="00AA7F24">
                            <w:pPr>
                              <w:rPr>
                                <w:rStyle w:val="normaltextrun"/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</w:p>
                          <w:p w14:paraId="109C4345" w14:textId="77777777" w:rsidR="00AA7F24" w:rsidRDefault="00AA7F24" w:rsidP="00AA7F24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5CD7639" w14:textId="77777777" w:rsidR="00AA7F24" w:rsidRDefault="00AA7F24" w:rsidP="00AA7F24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63D3F79" w14:textId="77777777" w:rsidR="00AA7F24" w:rsidRPr="006A2C0C" w:rsidRDefault="00AA7F24" w:rsidP="00AA7F24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881005" id="Text Box 2" o:spid="_x0000_s1027" type="#_x0000_t202" style="position:absolute;margin-left:0;margin-top:22.65pt;width:478.65pt;height:40.5pt;z-index:251658241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33AFF202" w14:textId="6ABB6396" w:rsidR="00AA7F24" w:rsidRPr="0015139C" w:rsidRDefault="00AA7F24" w:rsidP="00AA7F24">
                      <w:pP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  <w:r w:rsidRPr="0015139C">
                        <w:rPr>
                          <w:rStyle w:val="normaltextrun"/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Oral Surgery Level 2a indicative supporting competencies (for information – Ref: </w:t>
                      </w:r>
                      <w:r w:rsidRPr="0015139C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Gateway number: 08479)</w:t>
                      </w:r>
                    </w:p>
                    <w:p w14:paraId="6BCF73D9" w14:textId="7FE40C5E" w:rsidR="00AA7F24" w:rsidRPr="0015139C" w:rsidRDefault="00AA7F24" w:rsidP="00AA7F24">
                      <w:pPr>
                        <w:rPr>
                          <w:rStyle w:val="normaltextrun"/>
                          <w:rFonts w:ascii="Arial" w:hAnsi="Arial" w:cs="Arial"/>
                          <w:sz w:val="24"/>
                          <w:szCs w:val="24"/>
                        </w:rPr>
                      </w:pPr>
                    </w:p>
                    <w:p w14:paraId="109C4345" w14:textId="77777777" w:rsidR="00AA7F24" w:rsidRDefault="00AA7F24" w:rsidP="00AA7F24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55CD7639" w14:textId="77777777" w:rsidR="00AA7F24" w:rsidRDefault="00AA7F24" w:rsidP="00AA7F24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463D3F79" w14:textId="77777777" w:rsidR="00AA7F24" w:rsidRPr="006A2C0C" w:rsidRDefault="00AA7F24" w:rsidP="00AA7F24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6E854E6" w14:textId="77777777" w:rsidR="00AA7F24" w:rsidRDefault="00AA7F24" w:rsidP="0015139C">
      <w:pPr>
        <w:rPr>
          <w:rStyle w:val="normaltextrun"/>
          <w:rFonts w:ascii="Arial" w:hAnsi="Arial" w:cs="Arial"/>
          <w:sz w:val="24"/>
          <w:szCs w:val="24"/>
        </w:rPr>
      </w:pPr>
    </w:p>
    <w:p w14:paraId="4499D36F" w14:textId="1A179CD5" w:rsidR="0015139C" w:rsidRPr="00190F9E" w:rsidRDefault="0015139C" w:rsidP="0015139C">
      <w:pPr>
        <w:rPr>
          <w:rStyle w:val="normaltextrun"/>
          <w:rFonts w:ascii="Arial" w:hAnsi="Arial" w:cs="Arial"/>
          <w:b/>
          <w:bCs/>
          <w:sz w:val="24"/>
          <w:szCs w:val="24"/>
        </w:rPr>
      </w:pPr>
      <w:r w:rsidRPr="00190F9E">
        <w:rPr>
          <w:rStyle w:val="normaltextrun"/>
          <w:rFonts w:ascii="Arial" w:hAnsi="Arial" w:cs="Arial"/>
          <w:b/>
          <w:bCs/>
          <w:sz w:val="24"/>
          <w:szCs w:val="24"/>
        </w:rPr>
        <w:t>Knowledge</w:t>
      </w:r>
    </w:p>
    <w:p w14:paraId="1A7950D0" w14:textId="77777777" w:rsidR="00B57C3A" w:rsidRDefault="00B57C3A" w:rsidP="00B57C3A">
      <w:pPr>
        <w:pStyle w:val="ListParagraph"/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C512C3A" w14:textId="08F42D44" w:rsidR="0015139C" w:rsidRPr="0015139C" w:rsidRDefault="0015139C" w:rsidP="0015139C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Demonstrate full anatomical knowledge relevant to surgical practice </w:t>
      </w:r>
    </w:p>
    <w:p w14:paraId="311AA448" w14:textId="77777777" w:rsidR="0015139C" w:rsidRPr="0015139C" w:rsidRDefault="0015139C" w:rsidP="0015139C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Awareness of tissue spaces and spread of infection </w:t>
      </w:r>
    </w:p>
    <w:p w14:paraId="661D379E" w14:textId="77777777" w:rsidR="0015139C" w:rsidRPr="0015139C" w:rsidRDefault="0015139C" w:rsidP="0015139C">
      <w:pPr>
        <w:pStyle w:val="ListParagraph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Appropriate understanding of therapeutics</w:t>
      </w:r>
    </w:p>
    <w:p w14:paraId="09EBA3F5" w14:textId="77777777" w:rsidR="0015139C" w:rsidRPr="0015139C" w:rsidRDefault="0015139C" w:rsidP="0015139C">
      <w:pPr>
        <w:rPr>
          <w:rFonts w:ascii="Arial" w:hAnsi="Arial" w:cs="Arial"/>
          <w:sz w:val="24"/>
          <w:szCs w:val="24"/>
        </w:rPr>
      </w:pPr>
    </w:p>
    <w:p w14:paraId="332DFA91" w14:textId="58036600" w:rsidR="0015139C" w:rsidRPr="00190F9E" w:rsidRDefault="0015139C" w:rsidP="0015139C">
      <w:pPr>
        <w:rPr>
          <w:rFonts w:ascii="Arial" w:hAnsi="Arial" w:cs="Arial"/>
          <w:b/>
          <w:bCs/>
          <w:sz w:val="24"/>
          <w:szCs w:val="24"/>
        </w:rPr>
      </w:pPr>
      <w:r w:rsidRPr="00190F9E">
        <w:rPr>
          <w:rFonts w:ascii="Arial" w:hAnsi="Arial" w:cs="Arial"/>
          <w:b/>
          <w:bCs/>
          <w:sz w:val="24"/>
          <w:szCs w:val="24"/>
        </w:rPr>
        <w:t>Clinical</w:t>
      </w:r>
    </w:p>
    <w:p w14:paraId="05F26A0A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Ability to take comprehensive history </w:t>
      </w:r>
    </w:p>
    <w:p w14:paraId="3FDAC18C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Conduct a thorough clinical examination </w:t>
      </w:r>
    </w:p>
    <w:p w14:paraId="463FEF60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Recognise any need for relevant laboratory and diagnostic tests </w:t>
      </w:r>
    </w:p>
    <w:p w14:paraId="1DCF15B6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Generate a comprehensive differential diagnosis using all relevant information.</w:t>
      </w:r>
    </w:p>
    <w:p w14:paraId="2C80A6CF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Assess and understand the relevance of the patient’s medical history and current drug history on oral health and specifically oral surgery treatment. </w:t>
      </w:r>
    </w:p>
    <w:p w14:paraId="5E8C15CF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Recognise significant early indications of diseases present intra- orally, particularly systemic conditions and malignant disease. </w:t>
      </w:r>
    </w:p>
    <w:p w14:paraId="3F2D9265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Maintain legible and contemporaneous records. </w:t>
      </w:r>
    </w:p>
    <w:p w14:paraId="5256119E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Recognise if a diagnosis is out with the competence of the DES and describe the appropriate referral procedure. </w:t>
      </w:r>
    </w:p>
    <w:p w14:paraId="4AEECDF0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Accurately judge when and when not to intervene in a clinical situation and recognise</w:t>
      </w:r>
    </w:p>
    <w:p w14:paraId="465F4D79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Ability to diagnose and institute effective initial management for all common medical and dental emergencies including any arising from treatment complications.</w:t>
      </w:r>
    </w:p>
    <w:p w14:paraId="512BFA44" w14:textId="77777777" w:rsidR="0015139C" w:rsidRPr="0015139C" w:rsidRDefault="0015139C" w:rsidP="0015139C">
      <w:pPr>
        <w:pStyle w:val="ListParagraph"/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Be able to manage (including diagnose, plan and operate) patients with conditions listed under Level 1 and 2a oral surgery complexities</w:t>
      </w:r>
    </w:p>
    <w:p w14:paraId="1F2CDE58" w14:textId="77777777" w:rsidR="0015139C" w:rsidRPr="0015139C" w:rsidRDefault="0015139C" w:rsidP="0015139C">
      <w:pPr>
        <w:rPr>
          <w:rFonts w:ascii="Arial" w:hAnsi="Arial" w:cs="Arial"/>
          <w:sz w:val="24"/>
          <w:szCs w:val="24"/>
        </w:rPr>
      </w:pPr>
    </w:p>
    <w:p w14:paraId="175A8F11" w14:textId="77777777" w:rsidR="0015139C" w:rsidRPr="00190F9E" w:rsidRDefault="0015139C" w:rsidP="0015139C">
      <w:pPr>
        <w:rPr>
          <w:rFonts w:ascii="Arial" w:hAnsi="Arial" w:cs="Arial"/>
          <w:b/>
          <w:bCs/>
          <w:sz w:val="24"/>
          <w:szCs w:val="24"/>
        </w:rPr>
      </w:pPr>
      <w:r w:rsidRPr="00190F9E">
        <w:rPr>
          <w:rFonts w:ascii="Arial" w:hAnsi="Arial" w:cs="Arial"/>
          <w:b/>
          <w:bCs/>
          <w:sz w:val="24"/>
          <w:szCs w:val="24"/>
        </w:rPr>
        <w:t>Communication</w:t>
      </w:r>
    </w:p>
    <w:p w14:paraId="082F4264" w14:textId="77777777" w:rsidR="0015139C" w:rsidRPr="0015139C" w:rsidRDefault="0015139C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Communicate effectively within clinical networks</w:t>
      </w:r>
    </w:p>
    <w:p w14:paraId="1812A72F" w14:textId="77777777" w:rsidR="0015139C" w:rsidRPr="0015139C" w:rsidRDefault="0015139C" w:rsidP="0015139C">
      <w:pPr>
        <w:rPr>
          <w:rFonts w:ascii="Arial" w:hAnsi="Arial" w:cs="Arial"/>
          <w:sz w:val="24"/>
          <w:szCs w:val="24"/>
        </w:rPr>
      </w:pPr>
    </w:p>
    <w:p w14:paraId="1EA47A09" w14:textId="77777777" w:rsidR="0015139C" w:rsidRPr="00190F9E" w:rsidRDefault="0015139C" w:rsidP="0015139C">
      <w:pPr>
        <w:rPr>
          <w:rFonts w:ascii="Arial" w:hAnsi="Arial" w:cs="Arial"/>
          <w:b/>
          <w:bCs/>
          <w:sz w:val="24"/>
          <w:szCs w:val="24"/>
        </w:rPr>
      </w:pPr>
      <w:r w:rsidRPr="00190F9E">
        <w:rPr>
          <w:rFonts w:ascii="Arial" w:hAnsi="Arial" w:cs="Arial"/>
          <w:b/>
          <w:bCs/>
          <w:sz w:val="24"/>
          <w:szCs w:val="24"/>
        </w:rPr>
        <w:t>Clinical Governance</w:t>
      </w:r>
    </w:p>
    <w:p w14:paraId="26EA7B72" w14:textId="77777777" w:rsidR="0015139C" w:rsidRPr="0015139C" w:rsidRDefault="0015139C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Evidence of clinical governance (including audit) of relevance to Oral Surgery in which the practitioner has been personally involved in.</w:t>
      </w:r>
    </w:p>
    <w:p w14:paraId="0C8E8588" w14:textId="77777777" w:rsidR="0015139C" w:rsidRPr="0015139C" w:rsidRDefault="0015139C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Evidence of being included in a managed clinical network (where appropriate).</w:t>
      </w:r>
    </w:p>
    <w:p w14:paraId="52A55FF6" w14:textId="77777777" w:rsidR="0015139C" w:rsidRPr="0015139C" w:rsidRDefault="0015139C" w:rsidP="0015139C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 xml:space="preserve">Evidence of reporting of critical incidents. </w:t>
      </w:r>
    </w:p>
    <w:p w14:paraId="3BCCB7F5" w14:textId="54D704B7" w:rsidR="0015139C" w:rsidRPr="00AA7F24" w:rsidRDefault="0015139C" w:rsidP="00AA7F24">
      <w:pPr>
        <w:pStyle w:val="ListParagraph"/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  <w:r w:rsidRPr="0015139C">
        <w:rPr>
          <w:rFonts w:ascii="Arial" w:eastAsia="Times New Roman" w:hAnsi="Arial" w:cs="Arial"/>
          <w:sz w:val="24"/>
          <w:szCs w:val="24"/>
          <w:lang w:eastAsia="en-GB"/>
        </w:rPr>
        <w:t>Evidence of reporting and recording complication rates.</w:t>
      </w:r>
    </w:p>
    <w:p w14:paraId="37BA08FF" w14:textId="77777777" w:rsidR="0015139C" w:rsidRPr="008C232F" w:rsidRDefault="0015139C" w:rsidP="0015139C">
      <w:pPr>
        <w:rPr>
          <w:rStyle w:val="normaltextrun"/>
          <w:rFonts w:ascii="Arial" w:hAnsi="Arial" w:cs="Arial"/>
        </w:rPr>
      </w:pPr>
    </w:p>
    <w:p w14:paraId="76F7F40D" w14:textId="77777777" w:rsidR="0015139C" w:rsidRDefault="0015139C" w:rsidP="0015139C">
      <w:pPr>
        <w:autoSpaceDE w:val="0"/>
        <w:autoSpaceDN w:val="0"/>
        <w:adjustRightInd w:val="0"/>
        <w:rPr>
          <w:rFonts w:ascii="Arial" w:hAnsi="Arial" w:cs="Arial"/>
          <w:b/>
          <w:bCs/>
          <w:color w:val="212529"/>
        </w:rPr>
      </w:pPr>
    </w:p>
    <w:p w14:paraId="75087A49" w14:textId="7CB46A32" w:rsidR="00B3492B" w:rsidRDefault="00B3492B"/>
    <w:sectPr w:rsidR="00B3492B" w:rsidSect="00AA7F24">
      <w:headerReference w:type="default" r:id="rId11"/>
      <w:pgSz w:w="11906" w:h="16838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FABCA5" w14:textId="77777777" w:rsidR="004F628A" w:rsidRDefault="004F628A" w:rsidP="005D1661">
      <w:pPr>
        <w:spacing w:after="0" w:line="240" w:lineRule="auto"/>
      </w:pPr>
      <w:r>
        <w:separator/>
      </w:r>
    </w:p>
  </w:endnote>
  <w:endnote w:type="continuationSeparator" w:id="0">
    <w:p w14:paraId="3AFEAE4A" w14:textId="77777777" w:rsidR="004F628A" w:rsidRDefault="004F628A" w:rsidP="005D1661">
      <w:pPr>
        <w:spacing w:after="0" w:line="240" w:lineRule="auto"/>
      </w:pPr>
      <w:r>
        <w:continuationSeparator/>
      </w:r>
    </w:p>
  </w:endnote>
  <w:endnote w:type="continuationNotice" w:id="1">
    <w:p w14:paraId="2C180B2C" w14:textId="77777777" w:rsidR="004F628A" w:rsidRDefault="004F62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A9B203" w14:textId="77777777" w:rsidR="004F628A" w:rsidRDefault="004F628A" w:rsidP="005D1661">
      <w:pPr>
        <w:spacing w:after="0" w:line="240" w:lineRule="auto"/>
      </w:pPr>
      <w:r>
        <w:separator/>
      </w:r>
    </w:p>
  </w:footnote>
  <w:footnote w:type="continuationSeparator" w:id="0">
    <w:p w14:paraId="24D1DE37" w14:textId="77777777" w:rsidR="004F628A" w:rsidRDefault="004F628A" w:rsidP="005D1661">
      <w:pPr>
        <w:spacing w:after="0" w:line="240" w:lineRule="auto"/>
      </w:pPr>
      <w:r>
        <w:continuationSeparator/>
      </w:r>
    </w:p>
  </w:footnote>
  <w:footnote w:type="continuationNotice" w:id="1">
    <w:p w14:paraId="0EB3758D" w14:textId="77777777" w:rsidR="004F628A" w:rsidRDefault="004F62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936A0" w14:textId="63963408" w:rsidR="005D1661" w:rsidRDefault="005D1661" w:rsidP="005D1661">
    <w:pPr>
      <w:pStyle w:val="Header"/>
      <w:jc w:val="center"/>
    </w:pPr>
    <w:r>
      <w:rPr>
        <w:noProof/>
      </w:rPr>
      <w:drawing>
        <wp:inline distT="0" distB="0" distL="0" distR="0" wp14:anchorId="1456FD1D" wp14:editId="6838EBB8">
          <wp:extent cx="3206396" cy="753464"/>
          <wp:effectExtent l="0" t="0" r="0" b="8890"/>
          <wp:docPr id="6" name="Picture 6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36931" cy="760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9FE69DD" w14:textId="77777777" w:rsidR="005D1661" w:rsidRDefault="005D1661" w:rsidP="005D1661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03DA0"/>
    <w:multiLevelType w:val="hybridMultilevel"/>
    <w:tmpl w:val="D892D5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70CA0"/>
    <w:multiLevelType w:val="hybridMultilevel"/>
    <w:tmpl w:val="DD30FA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11C87"/>
    <w:multiLevelType w:val="hybridMultilevel"/>
    <w:tmpl w:val="EEFE1F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652BE4"/>
    <w:multiLevelType w:val="hybridMultilevel"/>
    <w:tmpl w:val="088AF3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01154E"/>
    <w:multiLevelType w:val="hybridMultilevel"/>
    <w:tmpl w:val="A6EE9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3A4327"/>
    <w:multiLevelType w:val="hybridMultilevel"/>
    <w:tmpl w:val="C69CEA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2E1E9F"/>
    <w:multiLevelType w:val="hybridMultilevel"/>
    <w:tmpl w:val="1910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9557571">
    <w:abstractNumId w:val="5"/>
  </w:num>
  <w:num w:numId="2" w16cid:durableId="622733619">
    <w:abstractNumId w:val="3"/>
  </w:num>
  <w:num w:numId="3" w16cid:durableId="1275870247">
    <w:abstractNumId w:val="4"/>
  </w:num>
  <w:num w:numId="4" w16cid:durableId="1690140601">
    <w:abstractNumId w:val="1"/>
  </w:num>
  <w:num w:numId="5" w16cid:durableId="987780906">
    <w:abstractNumId w:val="2"/>
  </w:num>
  <w:num w:numId="6" w16cid:durableId="920286844">
    <w:abstractNumId w:val="6"/>
  </w:num>
  <w:num w:numId="7" w16cid:durableId="10084051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92B"/>
    <w:rsid w:val="000A5CF9"/>
    <w:rsid w:val="000C6081"/>
    <w:rsid w:val="0015139C"/>
    <w:rsid w:val="00190F9E"/>
    <w:rsid w:val="001B64E4"/>
    <w:rsid w:val="001D20EB"/>
    <w:rsid w:val="00246C54"/>
    <w:rsid w:val="0025506E"/>
    <w:rsid w:val="002C5DCB"/>
    <w:rsid w:val="002E4A56"/>
    <w:rsid w:val="003143CB"/>
    <w:rsid w:val="003E733A"/>
    <w:rsid w:val="004422A5"/>
    <w:rsid w:val="004F628A"/>
    <w:rsid w:val="00562B3E"/>
    <w:rsid w:val="005D1661"/>
    <w:rsid w:val="0063600F"/>
    <w:rsid w:val="0076410A"/>
    <w:rsid w:val="00824EA1"/>
    <w:rsid w:val="008C7D1A"/>
    <w:rsid w:val="008E2C55"/>
    <w:rsid w:val="008F700B"/>
    <w:rsid w:val="009309FD"/>
    <w:rsid w:val="009D09D3"/>
    <w:rsid w:val="009E0D41"/>
    <w:rsid w:val="00A10B2C"/>
    <w:rsid w:val="00AA7F24"/>
    <w:rsid w:val="00AD1327"/>
    <w:rsid w:val="00B3492B"/>
    <w:rsid w:val="00B57C3A"/>
    <w:rsid w:val="00BF6207"/>
    <w:rsid w:val="00C0275B"/>
    <w:rsid w:val="00C17306"/>
    <w:rsid w:val="00C86839"/>
    <w:rsid w:val="00CA5907"/>
    <w:rsid w:val="00D46818"/>
    <w:rsid w:val="00DF4FF2"/>
    <w:rsid w:val="00E312D0"/>
    <w:rsid w:val="00E4041C"/>
    <w:rsid w:val="00EA6CE7"/>
    <w:rsid w:val="00ED50D0"/>
    <w:rsid w:val="00F314CF"/>
    <w:rsid w:val="027ABA7F"/>
    <w:rsid w:val="02B1BB9F"/>
    <w:rsid w:val="030DD965"/>
    <w:rsid w:val="0335EDC1"/>
    <w:rsid w:val="033D2BD6"/>
    <w:rsid w:val="05B25B41"/>
    <w:rsid w:val="0C219CC5"/>
    <w:rsid w:val="0D195D43"/>
    <w:rsid w:val="1E69F067"/>
    <w:rsid w:val="2531D5F1"/>
    <w:rsid w:val="263115F5"/>
    <w:rsid w:val="26B93D6B"/>
    <w:rsid w:val="270FA9CD"/>
    <w:rsid w:val="2968B6B7"/>
    <w:rsid w:val="29A6232D"/>
    <w:rsid w:val="29F0DE2D"/>
    <w:rsid w:val="2A3797E0"/>
    <w:rsid w:val="32AD560E"/>
    <w:rsid w:val="330F7850"/>
    <w:rsid w:val="39F5C720"/>
    <w:rsid w:val="3AFE4386"/>
    <w:rsid w:val="3B01996F"/>
    <w:rsid w:val="3B743C8E"/>
    <w:rsid w:val="3D46903F"/>
    <w:rsid w:val="3E2A722B"/>
    <w:rsid w:val="4E374E9F"/>
    <w:rsid w:val="4FD31F00"/>
    <w:rsid w:val="5055D113"/>
    <w:rsid w:val="5176DBEC"/>
    <w:rsid w:val="5304FDF4"/>
    <w:rsid w:val="55BA390E"/>
    <w:rsid w:val="5605E49A"/>
    <w:rsid w:val="564A4D0F"/>
    <w:rsid w:val="57F7BD53"/>
    <w:rsid w:val="5C9879AB"/>
    <w:rsid w:val="63FB7E22"/>
    <w:rsid w:val="64DAFFC1"/>
    <w:rsid w:val="65B48EFE"/>
    <w:rsid w:val="68042EC0"/>
    <w:rsid w:val="68D6DBD0"/>
    <w:rsid w:val="6914E253"/>
    <w:rsid w:val="6CD79FE3"/>
    <w:rsid w:val="6DF5A2EF"/>
    <w:rsid w:val="73AAECF9"/>
    <w:rsid w:val="7919B69C"/>
    <w:rsid w:val="7B7C92EE"/>
    <w:rsid w:val="7BA8AE53"/>
    <w:rsid w:val="7F858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6B2F7"/>
  <w15:chartTrackingRefBased/>
  <w15:docId w15:val="{DB109C8D-2977-4CC6-83FF-E664EB431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9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49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aragraph">
    <w:name w:val="paragraph"/>
    <w:basedOn w:val="Normal"/>
    <w:rsid w:val="00B34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B3492B"/>
  </w:style>
  <w:style w:type="character" w:customStyle="1" w:styleId="normaltextrun">
    <w:name w:val="normaltextrun"/>
    <w:basedOn w:val="DefaultParagraphFont"/>
    <w:rsid w:val="00B3492B"/>
  </w:style>
  <w:style w:type="character" w:styleId="PlaceholderText">
    <w:name w:val="Placeholder Text"/>
    <w:basedOn w:val="DefaultParagraphFont"/>
    <w:uiPriority w:val="99"/>
    <w:semiHidden/>
    <w:rsid w:val="00B3492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1661"/>
  </w:style>
  <w:style w:type="paragraph" w:styleId="Footer">
    <w:name w:val="footer"/>
    <w:basedOn w:val="Normal"/>
    <w:link w:val="Foot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1661"/>
  </w:style>
  <w:style w:type="paragraph" w:styleId="ListParagraph">
    <w:name w:val="List Paragraph"/>
    <w:basedOn w:val="Normal"/>
    <w:uiPriority w:val="34"/>
    <w:qFormat/>
    <w:rsid w:val="001513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9978055-6ED7-4BBC-ACC8-B5EAD7E537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6957984-2358-46E0-B1E1-2BED11A1964A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customXml/itemProps3.xml><?xml version="1.0" encoding="utf-8"?>
<ds:datastoreItem xmlns:ds="http://schemas.openxmlformats.org/officeDocument/2006/customXml" ds:itemID="{FDEA9CFC-BF8D-46C6-AC7D-A9FDABDD29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B082603-2EE1-4E0E-A008-6F4C57B028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4</Pages>
  <Words>849</Words>
  <Characters>4843</Characters>
  <Application>Microsoft Office Word</Application>
  <DocSecurity>0</DocSecurity>
  <Lines>40</Lines>
  <Paragraphs>11</Paragraphs>
  <ScaleCrop>false</ScaleCrop>
  <Company/>
  <LinksUpToDate>false</LinksUpToDate>
  <CharactersWithSpaces>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Alexandra Rawlins (HEIW)</cp:lastModifiedBy>
  <cp:revision>36</cp:revision>
  <dcterms:created xsi:type="dcterms:W3CDTF">2023-05-04T11:13:00Z</dcterms:created>
  <dcterms:modified xsi:type="dcterms:W3CDTF">2023-06-02T13:39:00Z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