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E6147F" w14:textId="7733E6DD" w:rsidR="006E1625" w:rsidRPr="003B1B29" w:rsidRDefault="006E1625" w:rsidP="006E1625">
      <w:pPr>
        <w:jc w:val="center"/>
        <w:rPr>
          <w:sz w:val="28"/>
          <w:szCs w:val="28"/>
        </w:rPr>
      </w:pPr>
      <w:r>
        <w:rPr>
          <w:sz w:val="28"/>
          <w:szCs w:val="28"/>
        </w:rPr>
        <w:t>Duty and Decision (</w:t>
      </w:r>
      <w:r w:rsidR="00313A40">
        <w:rPr>
          <w:sz w:val="28"/>
          <w:szCs w:val="28"/>
        </w:rPr>
        <w:t>6</w:t>
      </w:r>
      <w:r>
        <w:rPr>
          <w:sz w:val="28"/>
          <w:szCs w:val="28"/>
        </w:rPr>
        <w:t xml:space="preserve">) – </w:t>
      </w:r>
      <w:r w:rsidR="00A027E1">
        <w:rPr>
          <w:sz w:val="28"/>
          <w:szCs w:val="28"/>
        </w:rPr>
        <w:t>Proximity and Risk</w:t>
      </w:r>
    </w:p>
    <w:p w14:paraId="24B1F8BB" w14:textId="017757D5" w:rsidR="00B726DC" w:rsidRDefault="006F26B6" w:rsidP="00B726DC">
      <w:r>
        <w:t xml:space="preserve">Previous blogs in this series have suggested that risk </w:t>
      </w:r>
      <w:r w:rsidR="00896C9A">
        <w:t xml:space="preserve">is helpfully conceptualised as risk </w:t>
      </w:r>
      <w:r w:rsidR="00554BFC">
        <w:t>of</w:t>
      </w:r>
      <w:r w:rsidR="00896C9A">
        <w:t xml:space="preserve"> </w:t>
      </w:r>
      <w:r w:rsidR="00F767E9">
        <w:t xml:space="preserve">impact on </w:t>
      </w:r>
      <w:r w:rsidR="00896C9A">
        <w:t>wellbeing</w:t>
      </w:r>
      <w:r w:rsidR="00B2008B">
        <w:t xml:space="preserve"> - </w:t>
      </w:r>
      <w:r w:rsidR="00896C9A">
        <w:t xml:space="preserve">operationalised as a </w:t>
      </w:r>
      <w:r w:rsidR="00932952">
        <w:t>set of underlying needs that contribute to psychological and physical wellbeing</w:t>
      </w:r>
      <w:r w:rsidR="00DB70C7">
        <w:t xml:space="preserve">.  This blog </w:t>
      </w:r>
      <w:r w:rsidR="00333813">
        <w:t xml:space="preserve">begins by </w:t>
      </w:r>
      <w:r w:rsidR="00DB70C7">
        <w:t>look</w:t>
      </w:r>
      <w:r w:rsidR="00333813">
        <w:t>ing</w:t>
      </w:r>
      <w:r w:rsidR="00DB70C7">
        <w:t xml:space="preserve"> at the role of proximity in </w:t>
      </w:r>
      <w:r w:rsidR="00B30EB8">
        <w:t xml:space="preserve">the foreseeability of </w:t>
      </w:r>
      <w:r w:rsidR="00F767E9">
        <w:t>harm</w:t>
      </w:r>
      <w:r w:rsidR="00333813">
        <w:t xml:space="preserve">  </w:t>
      </w:r>
      <w:r w:rsidR="001A5BFC">
        <w:t xml:space="preserve">  </w:t>
      </w:r>
    </w:p>
    <w:p w14:paraId="5565A36C" w14:textId="5A713F06" w:rsidR="00403B9B" w:rsidRDefault="00B64E9B">
      <w:pPr>
        <w:rPr>
          <w:noProof/>
        </w:rPr>
      </w:pPr>
      <w:r>
        <w:rPr>
          <w:noProof/>
        </w:rPr>
        <w:t xml:space="preserve">The </w:t>
      </w:r>
      <w:r w:rsidR="00554BFC">
        <w:rPr>
          <w:noProof/>
        </w:rPr>
        <w:t>image below</w:t>
      </w:r>
      <w:r>
        <w:rPr>
          <w:noProof/>
        </w:rPr>
        <w:t xml:space="preserve"> illustrates </w:t>
      </w:r>
      <w:r w:rsidR="00D90E3F">
        <w:rPr>
          <w:noProof/>
        </w:rPr>
        <w:t xml:space="preserve">several aspects of </w:t>
      </w:r>
      <w:r>
        <w:rPr>
          <w:noProof/>
        </w:rPr>
        <w:t xml:space="preserve">the relationship between proximity and risk.  </w:t>
      </w:r>
    </w:p>
    <w:p w14:paraId="7AA80172" w14:textId="4788D417" w:rsidR="00403B9B" w:rsidRDefault="00554BFC">
      <w:pPr>
        <w:rPr>
          <w:noProof/>
        </w:rPr>
      </w:pPr>
      <w:r>
        <w:rPr>
          <w:noProof/>
          <w:lang w:eastAsia="en-GB"/>
        </w:rPr>
        <w:drawing>
          <wp:anchor distT="0" distB="0" distL="114300" distR="114300" simplePos="0" relativeHeight="251659264" behindDoc="0" locked="0" layoutInCell="1" allowOverlap="1" wp14:anchorId="4EFFB528" wp14:editId="1AACB2BE">
            <wp:simplePos x="0" y="0"/>
            <wp:positionH relativeFrom="column">
              <wp:posOffset>3156585</wp:posOffset>
            </wp:positionH>
            <wp:positionV relativeFrom="paragraph">
              <wp:posOffset>219710</wp:posOffset>
            </wp:positionV>
            <wp:extent cx="3026410" cy="1938655"/>
            <wp:effectExtent l="0" t="0" r="2540" b="4445"/>
            <wp:wrapThrough wrapText="bothSides">
              <wp:wrapPolygon edited="0">
                <wp:start x="0" y="0"/>
                <wp:lineTo x="0" y="21437"/>
                <wp:lineTo x="21482" y="21437"/>
                <wp:lineTo x="21482"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26410" cy="19386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90E3F">
        <w:rPr>
          <w:noProof/>
        </w:rPr>
        <w:t xml:space="preserve">First, the closer a person is to </w:t>
      </w:r>
      <w:r w:rsidR="00175788">
        <w:rPr>
          <w:noProof/>
        </w:rPr>
        <w:t>a risk</w:t>
      </w:r>
      <w:r>
        <w:rPr>
          <w:noProof/>
        </w:rPr>
        <w:t>,</w:t>
      </w:r>
      <w:r w:rsidR="00D90E3F">
        <w:rPr>
          <w:noProof/>
        </w:rPr>
        <w:t xml:space="preserve"> the more visible it is likely to be to them.  </w:t>
      </w:r>
    </w:p>
    <w:p w14:paraId="5012BF57" w14:textId="458BAF4F" w:rsidR="00D22A46" w:rsidRDefault="00D90E3F">
      <w:pPr>
        <w:rPr>
          <w:noProof/>
        </w:rPr>
      </w:pPr>
      <w:r>
        <w:rPr>
          <w:noProof/>
        </w:rPr>
        <w:t xml:space="preserve">Second, </w:t>
      </w:r>
      <w:r w:rsidR="002E735F">
        <w:rPr>
          <w:noProof/>
        </w:rPr>
        <w:t xml:space="preserve">if we make the somewhat dramatic assumption that the </w:t>
      </w:r>
      <w:r>
        <w:rPr>
          <w:noProof/>
        </w:rPr>
        <w:t xml:space="preserve">gentleman </w:t>
      </w:r>
      <w:r w:rsidR="002E735F">
        <w:rPr>
          <w:noProof/>
        </w:rPr>
        <w:t>is wa</w:t>
      </w:r>
      <w:r w:rsidR="00887C3F">
        <w:rPr>
          <w:noProof/>
        </w:rPr>
        <w:t xml:space="preserve">lking towards </w:t>
      </w:r>
      <w:r w:rsidR="008F17F5">
        <w:rPr>
          <w:noProof/>
        </w:rPr>
        <w:t xml:space="preserve">a cliff edge, the nearer the car is to him the more likely </w:t>
      </w:r>
      <w:r w:rsidR="002673C4">
        <w:rPr>
          <w:noProof/>
        </w:rPr>
        <w:t xml:space="preserve">it is </w:t>
      </w:r>
      <w:r w:rsidR="008F17F5">
        <w:rPr>
          <w:noProof/>
        </w:rPr>
        <w:t>th</w:t>
      </w:r>
      <w:r w:rsidR="00761B54">
        <w:rPr>
          <w:noProof/>
        </w:rPr>
        <w:t xml:space="preserve">at the driver will be able to intervene.  </w:t>
      </w:r>
      <w:r w:rsidR="00E17B2C">
        <w:rPr>
          <w:noProof/>
        </w:rPr>
        <w:t xml:space="preserve">This observation is equally true as a general principle in relation to risk </w:t>
      </w:r>
      <w:r w:rsidR="000C53DA">
        <w:rPr>
          <w:noProof/>
        </w:rPr>
        <w:t xml:space="preserve">of impact on </w:t>
      </w:r>
      <w:r w:rsidR="00E17B2C">
        <w:rPr>
          <w:noProof/>
        </w:rPr>
        <w:t xml:space="preserve"> wellbeing.  Research suggests that </w:t>
      </w:r>
      <w:r w:rsidR="0010483E">
        <w:rPr>
          <w:noProof/>
        </w:rPr>
        <w:t xml:space="preserve">interventions tend to be more effective </w:t>
      </w:r>
      <w:r w:rsidR="00554BFC">
        <w:rPr>
          <w:noProof/>
        </w:rPr>
        <w:t xml:space="preserve">and sustainable </w:t>
      </w:r>
      <w:r w:rsidR="0010483E">
        <w:rPr>
          <w:noProof/>
        </w:rPr>
        <w:t xml:space="preserve">when they are provided by the people who are closest to the </w:t>
      </w:r>
      <w:r w:rsidR="00E24284">
        <w:rPr>
          <w:noProof/>
        </w:rPr>
        <w:t xml:space="preserve">identified </w:t>
      </w:r>
      <w:r w:rsidR="0010483E">
        <w:rPr>
          <w:noProof/>
        </w:rPr>
        <w:t xml:space="preserve">person.  </w:t>
      </w:r>
    </w:p>
    <w:p w14:paraId="72ADBC31" w14:textId="204E36B8" w:rsidR="00554BFC" w:rsidRDefault="00381D8C" w:rsidP="00DC14BD">
      <w:pPr>
        <w:rPr>
          <w:noProof/>
        </w:rPr>
      </w:pPr>
      <w:r>
        <w:rPr>
          <w:noProof/>
        </w:rPr>
        <w:t xml:space="preserve">The above image also helps to highlight the difference between imminence and severity.  The risk to the man at 20m is more imminent than the risk to the men at 50 and 150m.  Put simply, if the car continues to move at the same speed it will hit him first.  However, if the car is accelerating the severity (impact) will be greatest on the man at 150m.  This distinction is important because our risk judgements tend to focus on the the likelihood of the event (ie. imminence) rather than on impact.  Judging the latter requires an understanding of  personal meanings underpinning </w:t>
      </w:r>
      <w:r w:rsidR="004865A4">
        <w:rPr>
          <w:noProof/>
        </w:rPr>
        <w:t>a person’s</w:t>
      </w:r>
      <w:r>
        <w:rPr>
          <w:noProof/>
        </w:rPr>
        <w:t xml:space="preserve"> wellbeing – i.e. the ‘so what’ of the harmful event. </w:t>
      </w:r>
    </w:p>
    <w:p w14:paraId="1F217621" w14:textId="371F1D7C" w:rsidR="00573EF8" w:rsidRDefault="00F3665A" w:rsidP="00DC14BD">
      <w:pPr>
        <w:rPr>
          <w:noProof/>
        </w:rPr>
      </w:pPr>
      <w:r>
        <w:rPr>
          <w:noProof/>
          <w:lang w:eastAsia="en-GB"/>
        </w:rPr>
        <w:drawing>
          <wp:anchor distT="0" distB="0" distL="114300" distR="114300" simplePos="0" relativeHeight="251658240" behindDoc="1" locked="0" layoutInCell="1" allowOverlap="1" wp14:anchorId="5E4B92A2" wp14:editId="16DF046B">
            <wp:simplePos x="0" y="0"/>
            <wp:positionH relativeFrom="margin">
              <wp:posOffset>19050</wp:posOffset>
            </wp:positionH>
            <wp:positionV relativeFrom="paragraph">
              <wp:posOffset>35560</wp:posOffset>
            </wp:positionV>
            <wp:extent cx="1552575" cy="2085975"/>
            <wp:effectExtent l="0" t="0" r="9525" b="9525"/>
            <wp:wrapThrough wrapText="bothSides">
              <wp:wrapPolygon edited="0">
                <wp:start x="0" y="0"/>
                <wp:lineTo x="0" y="21501"/>
                <wp:lineTo x="21467" y="21501"/>
                <wp:lineTo x="21467" y="0"/>
                <wp:lineTo x="0" y="0"/>
              </wp:wrapPolygon>
            </wp:wrapThrough>
            <wp:docPr id="1" name="Picture 1" descr="Two well-known optical illusions where the actual depth order of the scene objects is ambiguous or undeterm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o well-known optical illusions where the actual depth order of the scene objects is ambiguous or undetermin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2575" cy="2085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84A06">
        <w:rPr>
          <w:noProof/>
        </w:rPr>
        <w:t>P</w:t>
      </w:r>
      <w:r w:rsidR="00FF1B6C">
        <w:rPr>
          <w:noProof/>
        </w:rPr>
        <w:t>roximity can be misleading</w:t>
      </w:r>
      <w:r w:rsidR="00D84A06">
        <w:rPr>
          <w:noProof/>
        </w:rPr>
        <w:t>, however</w:t>
      </w:r>
      <w:r w:rsidR="00FF1B6C">
        <w:rPr>
          <w:noProof/>
        </w:rPr>
        <w:t xml:space="preserve">.  </w:t>
      </w:r>
      <w:r w:rsidR="00C829C5">
        <w:rPr>
          <w:noProof/>
        </w:rPr>
        <w:t xml:space="preserve">Just because someone is close to a risk does not mean that they are </w:t>
      </w:r>
      <w:r w:rsidR="00335195">
        <w:rPr>
          <w:noProof/>
        </w:rPr>
        <w:t xml:space="preserve">able to </w:t>
      </w:r>
      <w:r w:rsidR="00C829C5">
        <w:rPr>
          <w:noProof/>
        </w:rPr>
        <w:t>provid</w:t>
      </w:r>
      <w:r w:rsidR="00335195">
        <w:rPr>
          <w:noProof/>
        </w:rPr>
        <w:t>e</w:t>
      </w:r>
      <w:r w:rsidR="00C829C5">
        <w:rPr>
          <w:noProof/>
        </w:rPr>
        <w:t xml:space="preserve"> the most helpful portrayal of </w:t>
      </w:r>
      <w:r w:rsidR="00335195">
        <w:rPr>
          <w:noProof/>
        </w:rPr>
        <w:t>it</w:t>
      </w:r>
      <w:r w:rsidR="00C829C5">
        <w:rPr>
          <w:noProof/>
        </w:rPr>
        <w:t xml:space="preserve">.  </w:t>
      </w:r>
      <w:r w:rsidR="00861695">
        <w:rPr>
          <w:noProof/>
        </w:rPr>
        <w:t xml:space="preserve">The gentleman in the picture on the right could be seen as </w:t>
      </w:r>
      <w:r w:rsidR="00C258D9">
        <w:rPr>
          <w:noProof/>
        </w:rPr>
        <w:t xml:space="preserve">close to but </w:t>
      </w:r>
      <w:r w:rsidR="00861695">
        <w:rPr>
          <w:noProof/>
        </w:rPr>
        <w:t>misreprenting the risk</w:t>
      </w:r>
      <w:r w:rsidR="00621920">
        <w:rPr>
          <w:noProof/>
        </w:rPr>
        <w:t>s</w:t>
      </w:r>
      <w:r w:rsidR="00861695">
        <w:rPr>
          <w:noProof/>
        </w:rPr>
        <w:t xml:space="preserve"> </w:t>
      </w:r>
      <w:r w:rsidR="00621920">
        <w:rPr>
          <w:noProof/>
        </w:rPr>
        <w:t xml:space="preserve">to life and limb and wellbeing </w:t>
      </w:r>
      <w:r w:rsidR="00861695">
        <w:rPr>
          <w:noProof/>
        </w:rPr>
        <w:t xml:space="preserve">of jumping off the Eiffel Tower.  </w:t>
      </w:r>
      <w:r w:rsidR="008729C3">
        <w:rPr>
          <w:noProof/>
        </w:rPr>
        <w:t>In this instance, the misrepresentation is deliberate.  In</w:t>
      </w:r>
      <w:r w:rsidR="00703B0D">
        <w:rPr>
          <w:noProof/>
        </w:rPr>
        <w:t xml:space="preserve"> reality there are a range of other factors that contribute to </w:t>
      </w:r>
      <w:r w:rsidR="00DC14BD">
        <w:rPr>
          <w:noProof/>
        </w:rPr>
        <w:t>differences in</w:t>
      </w:r>
      <w:r w:rsidR="00703B0D">
        <w:rPr>
          <w:noProof/>
        </w:rPr>
        <w:t xml:space="preserve"> perceptions of risk.  </w:t>
      </w:r>
      <w:r w:rsidR="00DC14BD">
        <w:rPr>
          <w:noProof/>
        </w:rPr>
        <w:t>These include, emotional</w:t>
      </w:r>
      <w:r w:rsidR="00F203DF">
        <w:rPr>
          <w:noProof/>
        </w:rPr>
        <w:t xml:space="preserve"> </w:t>
      </w:r>
      <w:r w:rsidR="00A42618">
        <w:rPr>
          <w:noProof/>
        </w:rPr>
        <w:t>involvement and contagion</w:t>
      </w:r>
      <w:r w:rsidR="00F203DF">
        <w:rPr>
          <w:noProof/>
        </w:rPr>
        <w:t xml:space="preserve">, </w:t>
      </w:r>
      <w:r w:rsidR="00C969C9">
        <w:rPr>
          <w:noProof/>
        </w:rPr>
        <w:t>and prior experience</w:t>
      </w:r>
      <w:r w:rsidR="00554BFC">
        <w:rPr>
          <w:noProof/>
        </w:rPr>
        <w:t>,</w:t>
      </w:r>
      <w:r w:rsidR="00C969C9">
        <w:rPr>
          <w:noProof/>
        </w:rPr>
        <w:t xml:space="preserve"> and</w:t>
      </w:r>
      <w:r w:rsidR="00A66E69">
        <w:rPr>
          <w:noProof/>
        </w:rPr>
        <w:t xml:space="preserve"> knowledge.  For instance, </w:t>
      </w:r>
      <w:r w:rsidR="00573EF8">
        <w:rPr>
          <w:noProof/>
        </w:rPr>
        <w:t>know</w:t>
      </w:r>
      <w:r w:rsidR="00A66E69">
        <w:rPr>
          <w:noProof/>
        </w:rPr>
        <w:t>ing</w:t>
      </w:r>
      <w:r w:rsidR="00573EF8">
        <w:rPr>
          <w:noProof/>
        </w:rPr>
        <w:t xml:space="preserve"> that the Eiffel Tower is 324 meters tall </w:t>
      </w:r>
      <w:r w:rsidR="00BA1365">
        <w:rPr>
          <w:noProof/>
        </w:rPr>
        <w:t xml:space="preserve">helps us to </w:t>
      </w:r>
      <w:r w:rsidR="00FA57E1">
        <w:rPr>
          <w:noProof/>
        </w:rPr>
        <w:t xml:space="preserve">identify the illusion and </w:t>
      </w:r>
      <w:r w:rsidR="00BA1365">
        <w:rPr>
          <w:noProof/>
        </w:rPr>
        <w:t>appreciate that despite appearances it would be unwise to jump</w:t>
      </w:r>
      <w:r w:rsidR="00573EF8">
        <w:rPr>
          <w:noProof/>
        </w:rPr>
        <w:t xml:space="preserve"> off </w:t>
      </w:r>
      <w:r>
        <w:rPr>
          <w:noProof/>
        </w:rPr>
        <w:t xml:space="preserve">the </w:t>
      </w:r>
      <w:r w:rsidR="00BA1365">
        <w:rPr>
          <w:noProof/>
        </w:rPr>
        <w:t>tower</w:t>
      </w:r>
      <w:r>
        <w:rPr>
          <w:noProof/>
        </w:rPr>
        <w:t xml:space="preserve"> in the picture</w:t>
      </w:r>
      <w:r w:rsidR="00573EF8">
        <w:rPr>
          <w:noProof/>
        </w:rPr>
        <w:t xml:space="preserve">.  </w:t>
      </w:r>
    </w:p>
    <w:p w14:paraId="3322ACE8" w14:textId="53C4DCC3" w:rsidR="003C05AC" w:rsidRDefault="00C969C9">
      <w:pPr>
        <w:rPr>
          <w:noProof/>
        </w:rPr>
      </w:pPr>
      <w:r>
        <w:rPr>
          <w:noProof/>
        </w:rPr>
        <w:t xml:space="preserve">In </w:t>
      </w:r>
      <w:r w:rsidR="007E6A0F">
        <w:rPr>
          <w:noProof/>
        </w:rPr>
        <w:t>understanding risks it is important to</w:t>
      </w:r>
      <w:r w:rsidR="001C04A7">
        <w:rPr>
          <w:noProof/>
        </w:rPr>
        <w:t xml:space="preserve"> look for and understand discrepancies between different people’s perception of the same risk.  This includes discrepancies between our own and </w:t>
      </w:r>
      <w:r w:rsidR="001405E3">
        <w:rPr>
          <w:noProof/>
        </w:rPr>
        <w:t xml:space="preserve">other people’s </w:t>
      </w:r>
      <w:r w:rsidR="00554BFC">
        <w:rPr>
          <w:noProof/>
        </w:rPr>
        <w:t>judgements</w:t>
      </w:r>
      <w:r w:rsidR="001405E3">
        <w:rPr>
          <w:noProof/>
        </w:rPr>
        <w:t xml:space="preserve">.  This information helps to build a full and accurate picture of </w:t>
      </w:r>
      <w:r w:rsidR="007E6A0F">
        <w:rPr>
          <w:noProof/>
        </w:rPr>
        <w:t xml:space="preserve">the </w:t>
      </w:r>
      <w:r w:rsidR="0095699C">
        <w:rPr>
          <w:noProof/>
        </w:rPr>
        <w:t xml:space="preserve">relative </w:t>
      </w:r>
      <w:r w:rsidR="001405E3">
        <w:rPr>
          <w:noProof/>
        </w:rPr>
        <w:t xml:space="preserve">risk.  It also helps </w:t>
      </w:r>
      <w:r w:rsidR="00E939F2">
        <w:rPr>
          <w:noProof/>
        </w:rPr>
        <w:t xml:space="preserve">in understanding the current capability of proximal people to </w:t>
      </w:r>
      <w:r w:rsidR="000065F1">
        <w:rPr>
          <w:noProof/>
        </w:rPr>
        <w:t xml:space="preserve">accurately </w:t>
      </w:r>
      <w:r w:rsidR="006010FE">
        <w:rPr>
          <w:noProof/>
        </w:rPr>
        <w:t>judge</w:t>
      </w:r>
      <w:r w:rsidR="000065F1">
        <w:rPr>
          <w:noProof/>
        </w:rPr>
        <w:t xml:space="preserve">, communicate, manage, and ameliorate risk.  </w:t>
      </w:r>
      <w:r w:rsidR="00F41319">
        <w:rPr>
          <w:noProof/>
        </w:rPr>
        <w:t>Th</w:t>
      </w:r>
      <w:r w:rsidR="001270E6">
        <w:rPr>
          <w:noProof/>
        </w:rPr>
        <w:t>e</w:t>
      </w:r>
      <w:r w:rsidR="00B84386">
        <w:rPr>
          <w:noProof/>
        </w:rPr>
        <w:t>se</w:t>
      </w:r>
      <w:r w:rsidR="00F41319">
        <w:rPr>
          <w:noProof/>
        </w:rPr>
        <w:t xml:space="preserve"> capabilit</w:t>
      </w:r>
      <w:r w:rsidR="00B84386">
        <w:rPr>
          <w:noProof/>
        </w:rPr>
        <w:t>ies are</w:t>
      </w:r>
      <w:r w:rsidR="00F41319">
        <w:rPr>
          <w:noProof/>
        </w:rPr>
        <w:t xml:space="preserve"> an important </w:t>
      </w:r>
      <w:r w:rsidR="003C7C87">
        <w:rPr>
          <w:noProof/>
        </w:rPr>
        <w:t xml:space="preserve">aspect of the strengths and resources available to </w:t>
      </w:r>
      <w:r w:rsidR="003358B4">
        <w:rPr>
          <w:noProof/>
        </w:rPr>
        <w:t xml:space="preserve">a person.  Understanding the limits of these resources can </w:t>
      </w:r>
      <w:r w:rsidR="000065F1">
        <w:rPr>
          <w:noProof/>
        </w:rPr>
        <w:t xml:space="preserve">in turn </w:t>
      </w:r>
      <w:r w:rsidR="000C78A7">
        <w:rPr>
          <w:noProof/>
        </w:rPr>
        <w:t>help to formulate</w:t>
      </w:r>
      <w:r w:rsidR="00F06F1C">
        <w:rPr>
          <w:noProof/>
        </w:rPr>
        <w:t xml:space="preserve"> what might be needed to improve the</w:t>
      </w:r>
      <w:r w:rsidR="00B84386">
        <w:rPr>
          <w:noProof/>
        </w:rPr>
        <w:t>m</w:t>
      </w:r>
      <w:r w:rsidR="00F06F1C">
        <w:rPr>
          <w:noProof/>
        </w:rPr>
        <w:t xml:space="preserve">.  </w:t>
      </w:r>
    </w:p>
    <w:p w14:paraId="42F03DAF" w14:textId="7395FC98" w:rsidR="00573EF8" w:rsidRDefault="00CA29BD" w:rsidP="00381D8C">
      <w:r>
        <w:t xml:space="preserve">The next blog continues to explore the issue of proximity.  It focuses on </w:t>
      </w:r>
      <w:r w:rsidR="00AA7A7A">
        <w:t xml:space="preserve">the importance of clarifying who is </w:t>
      </w:r>
      <w:r w:rsidR="004238AB">
        <w:t xml:space="preserve">concerned and the route through which this concern is </w:t>
      </w:r>
      <w:r w:rsidR="00A62C43">
        <w:t>communicated to us</w:t>
      </w:r>
      <w:r w:rsidR="004865A4">
        <w:t>.</w:t>
      </w:r>
      <w:bookmarkStart w:id="0" w:name="_GoBack"/>
      <w:bookmarkEnd w:id="0"/>
    </w:p>
    <w:sectPr w:rsidR="00573EF8">
      <w:headerReference w:type="default" r:id="rId8"/>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23C5D0" w16cex:dateUtc="2021-10-27T11:34:00Z"/>
  <w16cex:commentExtensible w16cex:durableId="2523C572" w16cex:dateUtc="2021-10-27T11: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E390E71" w16cid:durableId="2523C5D0"/>
  <w16cid:commentId w16cid:paraId="4699A72C" w16cid:durableId="2523C57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B70C70" w14:textId="77777777" w:rsidR="004E1136" w:rsidRDefault="004E1136" w:rsidP="009F148A">
      <w:pPr>
        <w:spacing w:after="0" w:line="240" w:lineRule="auto"/>
      </w:pPr>
      <w:r>
        <w:separator/>
      </w:r>
    </w:p>
  </w:endnote>
  <w:endnote w:type="continuationSeparator" w:id="0">
    <w:p w14:paraId="584F6336" w14:textId="77777777" w:rsidR="004E1136" w:rsidRDefault="004E1136" w:rsidP="009F14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C5E30D" w14:textId="77777777" w:rsidR="004E1136" w:rsidRDefault="004E1136" w:rsidP="009F148A">
      <w:pPr>
        <w:spacing w:after="0" w:line="240" w:lineRule="auto"/>
      </w:pPr>
      <w:r>
        <w:separator/>
      </w:r>
    </w:p>
  </w:footnote>
  <w:footnote w:type="continuationSeparator" w:id="0">
    <w:p w14:paraId="3BB97974" w14:textId="77777777" w:rsidR="004E1136" w:rsidRDefault="004E1136" w:rsidP="009F14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A962F" w14:textId="77777777" w:rsidR="009F148A" w:rsidRDefault="009F148A" w:rsidP="009F148A">
    <w:pPr>
      <w:pStyle w:val="Header"/>
    </w:pPr>
    <w:r>
      <w:t xml:space="preserve">The Care Aims Framework and Decision about Duty: </w:t>
    </w:r>
  </w:p>
  <w:p w14:paraId="6F804DEE" w14:textId="57E120A2" w:rsidR="009F148A" w:rsidRDefault="009F148A" w:rsidP="009F148A">
    <w:pPr>
      <w:pStyle w:val="Header"/>
    </w:pPr>
    <w:r>
      <w:t>Daryl Harris, Regional Lead Improving Clinical Decision Making (ICDM) Team, HEIW</w:t>
    </w:r>
    <w:r>
      <w:tab/>
    </w:r>
    <w:r w:rsidR="00554BFC">
      <w:t>Nov</w:t>
    </w:r>
    <w:r>
      <w:t xml:space="preserve"> 2021</w:t>
    </w:r>
  </w:p>
  <w:p w14:paraId="270D7B90" w14:textId="77777777" w:rsidR="009F148A" w:rsidRDefault="009F148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625"/>
    <w:rsid w:val="000065F1"/>
    <w:rsid w:val="000152C5"/>
    <w:rsid w:val="000B7427"/>
    <w:rsid w:val="000C53DA"/>
    <w:rsid w:val="000C6195"/>
    <w:rsid w:val="000C78A7"/>
    <w:rsid w:val="0010483E"/>
    <w:rsid w:val="00114770"/>
    <w:rsid w:val="001270E6"/>
    <w:rsid w:val="0013242C"/>
    <w:rsid w:val="001405E3"/>
    <w:rsid w:val="00175788"/>
    <w:rsid w:val="001954BD"/>
    <w:rsid w:val="001A5BFC"/>
    <w:rsid w:val="001C04A7"/>
    <w:rsid w:val="001D1712"/>
    <w:rsid w:val="001E0F1C"/>
    <w:rsid w:val="001F2568"/>
    <w:rsid w:val="00202E18"/>
    <w:rsid w:val="002430C5"/>
    <w:rsid w:val="00244A02"/>
    <w:rsid w:val="002673C4"/>
    <w:rsid w:val="0028344F"/>
    <w:rsid w:val="002B13D9"/>
    <w:rsid w:val="002E735F"/>
    <w:rsid w:val="00313A40"/>
    <w:rsid w:val="003278F5"/>
    <w:rsid w:val="00333813"/>
    <w:rsid w:val="00335195"/>
    <w:rsid w:val="003358B4"/>
    <w:rsid w:val="00381D8C"/>
    <w:rsid w:val="003C05AC"/>
    <w:rsid w:val="003C7C87"/>
    <w:rsid w:val="00403B9B"/>
    <w:rsid w:val="004108A8"/>
    <w:rsid w:val="0041725A"/>
    <w:rsid w:val="004238AB"/>
    <w:rsid w:val="004865A4"/>
    <w:rsid w:val="004E1136"/>
    <w:rsid w:val="00554BFC"/>
    <w:rsid w:val="00573EF8"/>
    <w:rsid w:val="005B7CD6"/>
    <w:rsid w:val="005E452A"/>
    <w:rsid w:val="006010FE"/>
    <w:rsid w:val="00621920"/>
    <w:rsid w:val="006E1625"/>
    <w:rsid w:val="006E3E6C"/>
    <w:rsid w:val="006F26B6"/>
    <w:rsid w:val="00703B0D"/>
    <w:rsid w:val="0071068C"/>
    <w:rsid w:val="00731FC4"/>
    <w:rsid w:val="00737291"/>
    <w:rsid w:val="00740300"/>
    <w:rsid w:val="00755F63"/>
    <w:rsid w:val="00761B54"/>
    <w:rsid w:val="007E6A0F"/>
    <w:rsid w:val="00861695"/>
    <w:rsid w:val="008729C3"/>
    <w:rsid w:val="00887C3F"/>
    <w:rsid w:val="00896C9A"/>
    <w:rsid w:val="008F17F5"/>
    <w:rsid w:val="00932952"/>
    <w:rsid w:val="009462B4"/>
    <w:rsid w:val="0095699C"/>
    <w:rsid w:val="00971D5E"/>
    <w:rsid w:val="009D67E0"/>
    <w:rsid w:val="009F148A"/>
    <w:rsid w:val="00A027E1"/>
    <w:rsid w:val="00A42618"/>
    <w:rsid w:val="00A4300C"/>
    <w:rsid w:val="00A50CE3"/>
    <w:rsid w:val="00A62C43"/>
    <w:rsid w:val="00A66E69"/>
    <w:rsid w:val="00AA7A7A"/>
    <w:rsid w:val="00B2008B"/>
    <w:rsid w:val="00B30EB8"/>
    <w:rsid w:val="00B64E9B"/>
    <w:rsid w:val="00B71A72"/>
    <w:rsid w:val="00B726DC"/>
    <w:rsid w:val="00B84386"/>
    <w:rsid w:val="00BA1365"/>
    <w:rsid w:val="00C258D9"/>
    <w:rsid w:val="00C829C5"/>
    <w:rsid w:val="00C90FED"/>
    <w:rsid w:val="00C969C9"/>
    <w:rsid w:val="00CA29BD"/>
    <w:rsid w:val="00D22A46"/>
    <w:rsid w:val="00D84A06"/>
    <w:rsid w:val="00D90E3F"/>
    <w:rsid w:val="00DB70C7"/>
    <w:rsid w:val="00DC14BD"/>
    <w:rsid w:val="00DD30AE"/>
    <w:rsid w:val="00E121B4"/>
    <w:rsid w:val="00E17B2C"/>
    <w:rsid w:val="00E24284"/>
    <w:rsid w:val="00E32C87"/>
    <w:rsid w:val="00E939F2"/>
    <w:rsid w:val="00EB6B8E"/>
    <w:rsid w:val="00EE5F0B"/>
    <w:rsid w:val="00F06F1C"/>
    <w:rsid w:val="00F203DF"/>
    <w:rsid w:val="00F3665A"/>
    <w:rsid w:val="00F41319"/>
    <w:rsid w:val="00F767E9"/>
    <w:rsid w:val="00FA42DF"/>
    <w:rsid w:val="00FA57E1"/>
    <w:rsid w:val="00FD0F15"/>
    <w:rsid w:val="00FF1B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6C394"/>
  <w15:chartTrackingRefBased/>
  <w15:docId w15:val="{711494C6-E97E-4A49-8E28-624726465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16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F14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148A"/>
  </w:style>
  <w:style w:type="paragraph" w:styleId="Footer">
    <w:name w:val="footer"/>
    <w:basedOn w:val="Normal"/>
    <w:link w:val="FooterChar"/>
    <w:uiPriority w:val="99"/>
    <w:unhideWhenUsed/>
    <w:rsid w:val="009F14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148A"/>
  </w:style>
  <w:style w:type="paragraph" w:styleId="BalloonText">
    <w:name w:val="Balloon Text"/>
    <w:basedOn w:val="Normal"/>
    <w:link w:val="BalloonTextChar"/>
    <w:uiPriority w:val="99"/>
    <w:semiHidden/>
    <w:unhideWhenUsed/>
    <w:rsid w:val="0095699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699C"/>
    <w:rPr>
      <w:rFonts w:ascii="Times New Roman" w:hAnsi="Times New Roman" w:cs="Times New Roman"/>
      <w:sz w:val="18"/>
      <w:szCs w:val="18"/>
    </w:rPr>
  </w:style>
  <w:style w:type="paragraph" w:styleId="Revision">
    <w:name w:val="Revision"/>
    <w:hidden/>
    <w:uiPriority w:val="99"/>
    <w:semiHidden/>
    <w:rsid w:val="006010FE"/>
    <w:pPr>
      <w:spacing w:after="0" w:line="240" w:lineRule="auto"/>
    </w:pPr>
  </w:style>
  <w:style w:type="character" w:styleId="CommentReference">
    <w:name w:val="annotation reference"/>
    <w:basedOn w:val="DefaultParagraphFont"/>
    <w:uiPriority w:val="99"/>
    <w:semiHidden/>
    <w:unhideWhenUsed/>
    <w:rsid w:val="006010FE"/>
    <w:rPr>
      <w:sz w:val="16"/>
      <w:szCs w:val="16"/>
    </w:rPr>
  </w:style>
  <w:style w:type="paragraph" w:styleId="CommentText">
    <w:name w:val="annotation text"/>
    <w:basedOn w:val="Normal"/>
    <w:link w:val="CommentTextChar"/>
    <w:uiPriority w:val="99"/>
    <w:semiHidden/>
    <w:unhideWhenUsed/>
    <w:rsid w:val="006010FE"/>
    <w:pPr>
      <w:spacing w:line="240" w:lineRule="auto"/>
    </w:pPr>
    <w:rPr>
      <w:sz w:val="20"/>
      <w:szCs w:val="20"/>
    </w:rPr>
  </w:style>
  <w:style w:type="character" w:customStyle="1" w:styleId="CommentTextChar">
    <w:name w:val="Comment Text Char"/>
    <w:basedOn w:val="DefaultParagraphFont"/>
    <w:link w:val="CommentText"/>
    <w:uiPriority w:val="99"/>
    <w:semiHidden/>
    <w:rsid w:val="006010FE"/>
    <w:rPr>
      <w:sz w:val="20"/>
      <w:szCs w:val="20"/>
    </w:rPr>
  </w:style>
  <w:style w:type="paragraph" w:styleId="CommentSubject">
    <w:name w:val="annotation subject"/>
    <w:basedOn w:val="CommentText"/>
    <w:next w:val="CommentText"/>
    <w:link w:val="CommentSubjectChar"/>
    <w:uiPriority w:val="99"/>
    <w:semiHidden/>
    <w:unhideWhenUsed/>
    <w:rsid w:val="006010FE"/>
    <w:rPr>
      <w:b/>
      <w:bCs/>
    </w:rPr>
  </w:style>
  <w:style w:type="character" w:customStyle="1" w:styleId="CommentSubjectChar">
    <w:name w:val="Comment Subject Char"/>
    <w:basedOn w:val="CommentTextChar"/>
    <w:link w:val="CommentSubject"/>
    <w:uiPriority w:val="99"/>
    <w:semiHidden/>
    <w:rsid w:val="006010F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54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jpeg"/><Relationship Id="rId12"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microsoft.com/office/2016/09/relationships/commentsIds" Target="commentsId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482</Words>
  <Characters>2749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Daryl Harris (HEIW)</dc:creator>
  <cp:keywords/>
  <dc:description/>
  <cp:lastModifiedBy>Daryl Harris (Aneurin Bevan UHB - Community Neurological Rehabilitation Service)</cp:lastModifiedBy>
  <cp:revision>2</cp:revision>
  <dcterms:created xsi:type="dcterms:W3CDTF">2021-11-09T18:36:00Z</dcterms:created>
  <dcterms:modified xsi:type="dcterms:W3CDTF">2021-11-09T18:36:00Z</dcterms:modified>
</cp:coreProperties>
</file>