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440742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440742">
              <w:rPr>
                <w:rFonts w:ascii="Arial" w:hAnsi="Arial" w:cs="Arial"/>
                <w:snapToGrid/>
                <w:sz w:val="24"/>
                <w:szCs w:val="24"/>
              </w:rPr>
              <w:t>Administration of a Saline Flush at the time of Intravenous Cannulation</w:t>
            </w:r>
          </w:p>
        </w:tc>
      </w:tr>
      <w:tr w:rsidR="002B3622" w:rsidRPr="00095549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440742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41BB7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:rsidR="002B3622" w:rsidRPr="005A7C27" w:rsidRDefault="00D918CC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:rsidR="002B3622" w:rsidRPr="00360708" w:rsidRDefault="002115E1" w:rsidP="00D168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is for those who prepare for and administer pre-filled saline flushes at the time of intravenous cannula insertion</w:t>
            </w:r>
            <w:r w:rsidR="00360708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:rsidR="002B3622" w:rsidRDefault="002B3622" w:rsidP="002B3622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97203" w:rsidRDefault="00297203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15D93" w:rsidRPr="00615D93" w:rsidRDefault="002115E1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910F87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how to safely administer a pre-filled saline flush via an intravenous cannula.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115E1" w:rsidRPr="002115E1" w:rsidRDefault="002115E1" w:rsidP="002115E1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2115E1">
              <w:rPr>
                <w:color w:val="000000"/>
                <w:sz w:val="24"/>
                <w:szCs w:val="24"/>
              </w:rPr>
              <w:t>Identify the pre-filled saline flush device relevant to learner’s current role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2115E1" w:rsidRPr="002115E1" w:rsidRDefault="002115E1" w:rsidP="002115E1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2115E1">
              <w:rPr>
                <w:color w:val="000000"/>
                <w:sz w:val="24"/>
                <w:szCs w:val="24"/>
              </w:rPr>
              <w:t>Describe the infection, prevention and control measures required to administer the pre-filled saline flush via an intravenous cannula.</w:t>
            </w:r>
          </w:p>
          <w:p w:rsidR="002115E1" w:rsidRPr="002115E1" w:rsidRDefault="002115E1" w:rsidP="002115E1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2115E1">
              <w:rPr>
                <w:color w:val="000000"/>
                <w:sz w:val="24"/>
                <w:szCs w:val="24"/>
              </w:rPr>
              <w:t>Describe any signs or symptoms that would prevent a saline flush being given</w:t>
            </w:r>
            <w:r>
              <w:rPr>
                <w:color w:val="000000"/>
                <w:sz w:val="24"/>
                <w:szCs w:val="24"/>
              </w:rPr>
              <w:t>.</w:t>
            </w:r>
            <w:r w:rsidRPr="002115E1">
              <w:rPr>
                <w:color w:val="000000"/>
                <w:sz w:val="24"/>
                <w:szCs w:val="24"/>
              </w:rPr>
              <w:t xml:space="preserve"> </w:t>
            </w:r>
          </w:p>
          <w:p w:rsidR="00225B7E" w:rsidRPr="00225B7E" w:rsidRDefault="002115E1" w:rsidP="00225B7E">
            <w:pPr>
              <w:pStyle w:val="AssessmentCriteria"/>
              <w:numPr>
                <w:ilvl w:val="1"/>
                <w:numId w:val="5"/>
              </w:numPr>
              <w:rPr>
                <w:color w:val="000000"/>
                <w:sz w:val="24"/>
                <w:szCs w:val="24"/>
              </w:rPr>
            </w:pPr>
            <w:r w:rsidRPr="00225B7E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225B7E" w:rsidRPr="00225B7E">
              <w:rPr>
                <w:color w:val="000000"/>
                <w:sz w:val="24"/>
                <w:szCs w:val="24"/>
              </w:rPr>
              <w:t>,</w:t>
            </w:r>
            <w:r w:rsidR="00225B7E">
              <w:t xml:space="preserve"> </w:t>
            </w:r>
            <w:r w:rsidR="00225B7E" w:rsidRPr="00225B7E">
              <w:rPr>
                <w:color w:val="000000"/>
                <w:sz w:val="24"/>
                <w:szCs w:val="24"/>
              </w:rPr>
              <w:t>and the escalation and reporting requirements.</w:t>
            </w:r>
          </w:p>
          <w:p w:rsidR="002115E1" w:rsidRPr="002115E1" w:rsidRDefault="002115E1" w:rsidP="00225B7E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</w:p>
          <w:p w:rsidR="00615D93" w:rsidRPr="002115E1" w:rsidRDefault="00615D93" w:rsidP="002115E1">
            <w:pPr>
              <w:pStyle w:val="AssessmentCriteria"/>
              <w:numPr>
                <w:ilvl w:val="0"/>
                <w:numId w:val="0"/>
              </w:numPr>
              <w:snapToGrid w:val="0"/>
              <w:ind w:left="792"/>
            </w:pP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>Be able to prepare for the administration of a pre-filled saline flush.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3D38A5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Demonstrate Aseptic Non-Touch Technique (ANTT).</w:t>
            </w:r>
          </w:p>
          <w:p w:rsidR="00615D93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Confirm the appropriate timing of the flush.</w:t>
            </w:r>
          </w:p>
          <w:p w:rsidR="003D38A5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informed consent.</w:t>
            </w:r>
          </w:p>
          <w:p w:rsidR="00615D93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Select, check and prepare the pre-filled saline flush device for use at the time of intravenous cannula insertion, in accordance with local policies and procedures</w:t>
            </w:r>
          </w:p>
          <w:p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>Be able to administer saline flush and monitor the individual during the procedure.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Safely administer the pre-filled saline flush: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:rsidR="001C06B7" w:rsidRP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:rsidR="001C06B7" w:rsidRP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c) performing and responding appropriately to any required baseline physiological measurements prior to administration.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Monitor the individual’s condition during saline flush.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>Check the individual’s condition post saline flush.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Record and report the administration of the saline flush, in accordance with local policies and procedures.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Dispose of out of date / part-used saline flushes in accordance with legal and organisational requirements.</w:t>
            </w:r>
          </w:p>
          <w:p w:rsidR="001C06B7" w:rsidRPr="003D38A5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>Mange and dispose of sharps in accordance with local policies and procedures</w:t>
            </w:r>
            <w:r>
              <w:rPr>
                <w:color w:val="000000"/>
                <w:sz w:val="24"/>
                <w:szCs w:val="24"/>
              </w:rPr>
              <w:t>.</w:t>
            </w:r>
          </w:p>
        </w:tc>
      </w:tr>
    </w:tbl>
    <w:p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lastRenderedPageBreak/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1C06B7" w:rsidRDefault="00CE0BDE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>The practical aspects of this unit must be completed within a controlled workplace environment</w:t>
            </w:r>
            <w:r w:rsidR="001C06B7" w:rsidRPr="001C06B7">
              <w:rPr>
                <w:sz w:val="24"/>
                <w:szCs w:val="24"/>
              </w:rPr>
              <w:t xml:space="preserve"> </w:t>
            </w:r>
            <w:r w:rsidR="001C06B7" w:rsidRPr="001C06B7">
              <w:rPr>
                <w:rFonts w:ascii="Arial" w:hAnsi="Arial" w:cs="Arial"/>
                <w:sz w:val="24"/>
                <w:szCs w:val="24"/>
              </w:rPr>
              <w:t xml:space="preserve">on a minimum of three occasions.  </w:t>
            </w:r>
          </w:p>
          <w:p w:rsidR="001C06B7" w:rsidRPr="001C06B7" w:rsidRDefault="001C06B7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b/>
                <w:sz w:val="24"/>
                <w:szCs w:val="24"/>
              </w:rPr>
              <w:t>Administration to only be carried out using prefilled syringe medical devices.</w:t>
            </w:r>
          </w:p>
          <w:p w:rsidR="00CE0BDE" w:rsidRDefault="00CE0BDE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1C06B7" w:rsidRDefault="001C06B7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AC1.3 This could include, for example, </w:t>
            </w:r>
            <w:r w:rsidRPr="001C06B7">
              <w:rPr>
                <w:rFonts w:ascii="Arial" w:hAnsi="Arial" w:cs="Arial"/>
                <w:sz w:val="24"/>
                <w:szCs w:val="24"/>
              </w:rPr>
              <w:t xml:space="preserve">signs of infection, inflammation, incorrect positioning. </w:t>
            </w:r>
          </w:p>
          <w:p w:rsidR="001C06B7" w:rsidRPr="001C06B7" w:rsidRDefault="001C06B7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>Reference should be made to IV administration checklist.</w:t>
            </w:r>
          </w:p>
          <w:p w:rsidR="00CE0BDE" w:rsidRPr="001C06B7" w:rsidRDefault="00CE0BDE" w:rsidP="00CE0BDE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60708" w:rsidRDefault="00CE0BDE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>AC</w:t>
            </w:r>
            <w:r w:rsidR="00360708">
              <w:rPr>
                <w:rFonts w:ascii="Arial" w:hAnsi="Arial" w:cs="Arial"/>
                <w:sz w:val="24"/>
                <w:szCs w:val="24"/>
              </w:rPr>
              <w:t>3.</w:t>
            </w:r>
            <w:r w:rsidRPr="001C06B7">
              <w:rPr>
                <w:rFonts w:ascii="Arial" w:hAnsi="Arial" w:cs="Arial"/>
                <w:sz w:val="24"/>
                <w:szCs w:val="24"/>
              </w:rPr>
              <w:t>2 To include</w:t>
            </w:r>
            <w:r w:rsidR="00360708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360708" w:rsidRPr="00360708" w:rsidRDefault="00360708" w:rsidP="003607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:rsidR="00CE0BDE" w:rsidRPr="00360708" w:rsidRDefault="00360708" w:rsidP="003607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any post administration observations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440742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440742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440742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440742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9A5805" w:rsidRPr="00095549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GLH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40742"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40742"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40742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440742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440742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440742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880728"/>
    <w:multiLevelType w:val="hybridMultilevel"/>
    <w:tmpl w:val="49326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6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9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2"/>
  </w:num>
  <w:num w:numId="12">
    <w:abstractNumId w:val="9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25B7E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27989"/>
    <w:rsid w:val="00440742"/>
    <w:rsid w:val="00446536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703A5E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C675A"/>
    <w:rsid w:val="007C7DBB"/>
    <w:rsid w:val="007D2B92"/>
    <w:rsid w:val="007F3101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70F1C"/>
    <w:rsid w:val="00B72A76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18CC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097"/>
    <o:shapelayout v:ext="edit">
      <o:idmap v:ext="edit" data="1"/>
    </o:shapelayout>
  </w:shapeDefaults>
  <w:decimalSymbol w:val="."/>
  <w:listSeparator w:val=","/>
  <w14:docId w14:val="7188BE1F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07E0F-E246-447B-9EEB-A4ACAC61E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683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6</cp:revision>
  <cp:lastPrinted>2015-05-19T11:52:00Z</cp:lastPrinted>
  <dcterms:created xsi:type="dcterms:W3CDTF">2021-05-11T11:37:00Z</dcterms:created>
  <dcterms:modified xsi:type="dcterms:W3CDTF">2021-05-13T12:18:00Z</dcterms:modified>
</cp:coreProperties>
</file>